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02976" w14:textId="77777777" w:rsidR="0064575F" w:rsidRPr="0036352C" w:rsidRDefault="0064575F" w:rsidP="005837D9">
      <w:pPr>
        <w:jc w:val="center"/>
        <w:rPr>
          <w:b/>
          <w:lang w:val="en-US"/>
        </w:rPr>
      </w:pPr>
    </w:p>
    <w:p w14:paraId="4D237366" w14:textId="77777777" w:rsidR="0064575F" w:rsidRDefault="0064575F" w:rsidP="005837D9">
      <w:pPr>
        <w:jc w:val="center"/>
        <w:rPr>
          <w:b/>
          <w:lang w:val="sr-Cyrl-RS"/>
        </w:rPr>
      </w:pPr>
    </w:p>
    <w:p w14:paraId="640F0098" w14:textId="77777777" w:rsidR="0064575F" w:rsidRDefault="0064575F" w:rsidP="005837D9">
      <w:pPr>
        <w:jc w:val="center"/>
        <w:rPr>
          <w:b/>
          <w:lang w:val="sr-Cyrl-RS"/>
        </w:rPr>
      </w:pPr>
    </w:p>
    <w:p w14:paraId="2E96C0AE" w14:textId="20350836" w:rsidR="005837D9" w:rsidRPr="00F73C9E" w:rsidRDefault="00F73C9E" w:rsidP="005837D9">
      <w:pPr>
        <w:jc w:val="center"/>
        <w:rPr>
          <w:b/>
          <w:sz w:val="32"/>
          <w:szCs w:val="32"/>
          <w:lang w:val="sr-Cyrl-RS"/>
        </w:rPr>
      </w:pPr>
      <w:r w:rsidRPr="00F73C9E">
        <w:rPr>
          <w:b/>
          <w:sz w:val="32"/>
          <w:szCs w:val="32"/>
          <w:lang w:val="sr-Cyrl-RS"/>
        </w:rPr>
        <w:t>Одсек за материјално-финансијске послове</w:t>
      </w:r>
    </w:p>
    <w:p w14:paraId="686A978B" w14:textId="677DBE05" w:rsidR="00975D74" w:rsidRDefault="00CA29F9" w:rsidP="00CA29F9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Група за финансијско-рачуноводствене послове</w:t>
      </w:r>
    </w:p>
    <w:p w14:paraId="5C44A282" w14:textId="77777777" w:rsidR="00975D74" w:rsidRDefault="00975D74" w:rsidP="005837D9">
      <w:pPr>
        <w:rPr>
          <w:color w:val="000000"/>
          <w:lang w:val="sr-Cyrl-RS"/>
        </w:rPr>
      </w:pPr>
      <w:bookmarkStart w:id="0" w:name="_GoBack"/>
      <w:bookmarkEnd w:id="0"/>
    </w:p>
    <w:p w14:paraId="686E8AB7" w14:textId="77777777" w:rsidR="00605F0F" w:rsidRDefault="00605F0F" w:rsidP="005837D9">
      <w:pPr>
        <w:rPr>
          <w:color w:val="000000"/>
          <w:lang w:val="sr-Cyrl-RS"/>
        </w:rPr>
      </w:pPr>
    </w:p>
    <w:p w14:paraId="73CC7E0C" w14:textId="77777777" w:rsidR="00605F0F" w:rsidRDefault="00605F0F" w:rsidP="005837D9">
      <w:pPr>
        <w:rPr>
          <w:color w:val="000000"/>
          <w:lang w:val="sr-Cyrl-RS"/>
        </w:rPr>
      </w:pPr>
    </w:p>
    <w:p w14:paraId="429DDAA9" w14:textId="77777777" w:rsidR="0064575F" w:rsidRDefault="0064575F" w:rsidP="005837D9">
      <w:pPr>
        <w:rPr>
          <w:color w:val="000000"/>
          <w:lang w:val="sr-Cyrl-RS"/>
        </w:rPr>
      </w:pPr>
    </w:p>
    <w:p w14:paraId="3CDA5E69" w14:textId="77777777" w:rsidR="0064575F" w:rsidRDefault="0064575F" w:rsidP="005837D9">
      <w:pPr>
        <w:rPr>
          <w:color w:val="000000"/>
          <w:lang w:val="sr-Cyrl-RS"/>
        </w:rPr>
      </w:pPr>
    </w:p>
    <w:p w14:paraId="2064B3E5" w14:textId="23C51961" w:rsidR="005837D9" w:rsidRPr="00CC2C56" w:rsidRDefault="005837D9" w:rsidP="005837D9">
      <w:pPr>
        <w:jc w:val="both"/>
        <w:rPr>
          <w:lang w:val="en-US"/>
        </w:rPr>
      </w:pPr>
      <w:r>
        <w:rPr>
          <w:lang w:val="sr-Cyrl-RS"/>
        </w:rPr>
        <w:t xml:space="preserve">Транспарентност података о финансирању Државног већа тужилаца обезбеђена је на </w:t>
      </w:r>
      <w:r>
        <w:rPr>
          <w:lang w:val="sr-Cyrl-CS"/>
        </w:rPr>
        <w:t>веб</w:t>
      </w:r>
      <w:r>
        <w:rPr>
          <w:lang w:val="sr-Cyrl-RS"/>
        </w:rPr>
        <w:t xml:space="preserve"> презентацији Већа, на којој су објављени финансијски извештаји. Државно веће тужилаца презентацију ажурира квартално, тако да су на истој приказани табеларни прикази за </w:t>
      </w:r>
      <w:r w:rsidR="009613B7">
        <w:rPr>
          <w:lang w:val="sr-Cyrl-RS"/>
        </w:rPr>
        <w:t>први</w:t>
      </w:r>
      <w:r w:rsidR="00F54A18">
        <w:rPr>
          <w:lang w:val="sr-Cyrl-RS"/>
        </w:rPr>
        <w:t xml:space="preserve"> </w:t>
      </w:r>
      <w:r w:rsidR="007B11CD">
        <w:rPr>
          <w:lang w:val="sr-Cyrl-RS"/>
        </w:rPr>
        <w:t>квартал у 20</w:t>
      </w:r>
      <w:r w:rsidR="004A4448">
        <w:rPr>
          <w:lang w:val="sr-Cyrl-RS"/>
        </w:rPr>
        <w:t>2</w:t>
      </w:r>
      <w:r w:rsidR="009613B7">
        <w:rPr>
          <w:lang w:val="sr-Cyrl-RS"/>
        </w:rPr>
        <w:t>1</w:t>
      </w:r>
      <w:r w:rsidR="007B11CD">
        <w:rPr>
          <w:lang w:val="sr-Cyrl-RS"/>
        </w:rPr>
        <w:t>.</w:t>
      </w:r>
      <w:r>
        <w:rPr>
          <w:lang w:val="sr-Cyrl-RS"/>
        </w:rPr>
        <w:t xml:space="preserve"> на разделу </w:t>
      </w:r>
      <w:r w:rsidR="008A25F0">
        <w:rPr>
          <w:lang w:val="sr-Cyrl-RS"/>
        </w:rPr>
        <w:t>7</w:t>
      </w:r>
      <w:r>
        <w:rPr>
          <w:lang w:val="sr-Cyrl-RS"/>
        </w:rPr>
        <w:t xml:space="preserve">, </w:t>
      </w:r>
      <w:r w:rsidR="008A25F0">
        <w:rPr>
          <w:lang w:val="sr-Cyrl-RS"/>
        </w:rPr>
        <w:t>Програм 1602, Пројекат 0003 и 0004</w:t>
      </w:r>
      <w:r w:rsidR="00CC2C56">
        <w:rPr>
          <w:lang w:val="en-GB"/>
        </w:rPr>
        <w:t xml:space="preserve"> </w:t>
      </w:r>
    </w:p>
    <w:p w14:paraId="5256122F" w14:textId="77777777" w:rsidR="00975D74" w:rsidRDefault="00975D74" w:rsidP="00975D74">
      <w:pPr>
        <w:rPr>
          <w:b/>
          <w:lang w:val="sr-Cyrl-RS"/>
        </w:rPr>
      </w:pPr>
    </w:p>
    <w:p w14:paraId="4B04858B" w14:textId="77777777" w:rsidR="0064575F" w:rsidRDefault="0064575F" w:rsidP="00975D74">
      <w:pPr>
        <w:rPr>
          <w:b/>
          <w:lang w:val="sr-Cyrl-RS"/>
        </w:rPr>
      </w:pPr>
    </w:p>
    <w:p w14:paraId="0783F1A1" w14:textId="77777777" w:rsidR="0064575F" w:rsidRDefault="0064575F" w:rsidP="00975D74">
      <w:pPr>
        <w:rPr>
          <w:b/>
          <w:lang w:val="sr-Cyrl-RS"/>
        </w:rPr>
      </w:pPr>
    </w:p>
    <w:p w14:paraId="6BD94F94" w14:textId="77777777" w:rsidR="0064575F" w:rsidRDefault="0064575F" w:rsidP="00975D74">
      <w:pPr>
        <w:rPr>
          <w:b/>
          <w:lang w:val="sr-Cyrl-RS"/>
        </w:rPr>
      </w:pPr>
    </w:p>
    <w:p w14:paraId="0ACED369" w14:textId="77777777" w:rsidR="0064575F" w:rsidRDefault="0064575F" w:rsidP="00975D74">
      <w:pPr>
        <w:rPr>
          <w:b/>
          <w:lang w:val="sr-Cyrl-RS"/>
        </w:rPr>
      </w:pPr>
    </w:p>
    <w:p w14:paraId="3B911353" w14:textId="77777777" w:rsidR="0064575F" w:rsidRPr="00975D74" w:rsidRDefault="0064575F" w:rsidP="00975D74">
      <w:pPr>
        <w:rPr>
          <w:b/>
          <w:lang w:val="sr-Cyrl-RS"/>
        </w:rPr>
      </w:pPr>
    </w:p>
    <w:p w14:paraId="479F2920" w14:textId="77777777" w:rsidR="005837D9" w:rsidRDefault="005837D9" w:rsidP="005837D9">
      <w:pPr>
        <w:jc w:val="center"/>
        <w:rPr>
          <w:b/>
          <w:lang w:val="en-US"/>
        </w:rPr>
      </w:pPr>
    </w:p>
    <w:p w14:paraId="3FF97F86" w14:textId="385D1E34" w:rsidR="005837D9" w:rsidRPr="00CC4D1A" w:rsidRDefault="005837D9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t xml:space="preserve">Раздео </w:t>
      </w:r>
      <w:r w:rsidR="00605F0F">
        <w:rPr>
          <w:b/>
          <w:lang w:val="sr-Cyrl-RS"/>
        </w:rPr>
        <w:t>7</w:t>
      </w:r>
      <w:r w:rsidRPr="00CC4D1A">
        <w:rPr>
          <w:b/>
          <w:lang w:val="sr-Cyrl-RS"/>
        </w:rPr>
        <w:t xml:space="preserve"> </w:t>
      </w:r>
      <w:r w:rsidR="00605F0F">
        <w:rPr>
          <w:b/>
          <w:lang w:val="sr-Cyrl-RS"/>
        </w:rPr>
        <w:t>Државно веће тужилаца</w:t>
      </w:r>
    </w:p>
    <w:p w14:paraId="2C6966FA" w14:textId="0F1B57E5" w:rsidR="0064575F" w:rsidRPr="00CA29F9" w:rsidRDefault="00F73C9E" w:rsidP="00CA29F9">
      <w:pPr>
        <w:jc w:val="center"/>
        <w:rPr>
          <w:lang w:val="sr-Cyrl-RS"/>
        </w:rPr>
      </w:pPr>
      <w:r w:rsidRPr="008A25F0">
        <w:rPr>
          <w:lang w:val="sr-Cyrl-RS"/>
        </w:rPr>
        <w:t xml:space="preserve">Програм 1602 </w:t>
      </w:r>
      <w:r w:rsidR="00605F0F" w:rsidRPr="008A25F0">
        <w:rPr>
          <w:lang w:val="sr-Cyrl-RS"/>
        </w:rPr>
        <w:t>Пројекат 0003</w:t>
      </w:r>
    </w:p>
    <w:p w14:paraId="62A060D5" w14:textId="77777777" w:rsidR="0064575F" w:rsidRDefault="0064575F" w:rsidP="005837D9">
      <w:pPr>
        <w:jc w:val="center"/>
        <w:rPr>
          <w:b/>
          <w:lang w:val="sr-Cyrl-RS"/>
        </w:rPr>
      </w:pPr>
    </w:p>
    <w:p w14:paraId="3DAFA751" w14:textId="77777777" w:rsidR="0064575F" w:rsidRDefault="0064575F" w:rsidP="005837D9">
      <w:pPr>
        <w:jc w:val="center"/>
        <w:rPr>
          <w:b/>
          <w:lang w:val="sr-Cyrl-RS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"/>
        <w:gridCol w:w="180"/>
        <w:gridCol w:w="336"/>
        <w:gridCol w:w="2724"/>
        <w:gridCol w:w="1980"/>
        <w:gridCol w:w="1530"/>
        <w:gridCol w:w="1530"/>
        <w:gridCol w:w="1800"/>
      </w:tblGrid>
      <w:tr w:rsidR="00745C61" w:rsidRPr="00B72A65" w14:paraId="050E75B4" w14:textId="77777777" w:rsidTr="00C207F3">
        <w:trPr>
          <w:gridBefore w:val="1"/>
          <w:wBefore w:w="360" w:type="dxa"/>
          <w:trHeight w:val="755"/>
        </w:trPr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A366" w14:textId="77777777"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2C8" w14:textId="77777777" w:rsidR="00745C61" w:rsidRPr="00B72A65" w:rsidRDefault="00745C61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B5E" w14:textId="77777777" w:rsidR="00745C61" w:rsidRDefault="00745C61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64CB47BF" w14:textId="4F24C126" w:rsidR="00745C61" w:rsidRPr="00A1017D" w:rsidRDefault="00745C61" w:rsidP="009613B7">
            <w:pPr>
              <w:jc w:val="center"/>
              <w:rPr>
                <w:color w:val="000000"/>
                <w:sz w:val="20"/>
                <w:szCs w:val="28"/>
                <w:lang w:val="en-GB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5B4D" w14:textId="77247061" w:rsidR="00745C61" w:rsidRPr="00B72A65" w:rsidRDefault="00745C61" w:rsidP="009613B7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EE9" w14:textId="08BE440C" w:rsidR="00745C61" w:rsidRPr="00B72A65" w:rsidRDefault="00745C61" w:rsidP="009613B7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56BC" w14:textId="77777777" w:rsidR="006A3F0E" w:rsidRDefault="00745C61" w:rsidP="0065612E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 w:rsidRPr="00B72A65">
              <w:rPr>
                <w:color w:val="000000"/>
                <w:sz w:val="20"/>
                <w:szCs w:val="28"/>
                <w:lang w:val="en-US" w:eastAsia="en-US"/>
              </w:rPr>
              <w:t>Изврше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ње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буџета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8"/>
                <w:lang w:val="en-US" w:eastAsia="en-US"/>
              </w:rPr>
              <w:t>период</w:t>
            </w:r>
            <w:proofErr w:type="spellEnd"/>
          </w:p>
          <w:p w14:paraId="52D65F2F" w14:textId="4ECC7FC2" w:rsidR="00745C61" w:rsidRPr="00B72A65" w:rsidRDefault="00745C61" w:rsidP="009613B7">
            <w:pPr>
              <w:jc w:val="center"/>
              <w:rPr>
                <w:color w:val="000000"/>
                <w:sz w:val="20"/>
                <w:szCs w:val="28"/>
                <w:lang w:val="en-US" w:eastAsia="en-US"/>
              </w:rPr>
            </w:pPr>
            <w:r>
              <w:rPr>
                <w:color w:val="000000"/>
                <w:sz w:val="20"/>
                <w:szCs w:val="28"/>
                <w:lang w:val="en-US" w:eastAsia="en-US"/>
              </w:rPr>
              <w:t xml:space="preserve"> 01.01.-3</w:t>
            </w:r>
            <w:r w:rsidR="0022299C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US" w:eastAsia="en-US"/>
              </w:rPr>
              <w:t>.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03</w:t>
            </w:r>
            <w:r w:rsidR="004A4448">
              <w:rPr>
                <w:color w:val="000000"/>
                <w:sz w:val="20"/>
                <w:szCs w:val="28"/>
                <w:lang w:val="en-US" w:eastAsia="en-US"/>
              </w:rPr>
              <w:t>.20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21</w:t>
            </w:r>
            <w:r w:rsidRPr="00B72A65">
              <w:rPr>
                <w:color w:val="000000"/>
                <w:sz w:val="20"/>
                <w:szCs w:val="28"/>
                <w:lang w:val="en-US" w:eastAsia="en-US"/>
              </w:rPr>
              <w:t xml:space="preserve">. </w:t>
            </w:r>
          </w:p>
        </w:tc>
      </w:tr>
      <w:tr w:rsidR="009613B7" w:rsidRPr="00B72A65" w14:paraId="18743374" w14:textId="77777777" w:rsidTr="00CC2C56">
        <w:trPr>
          <w:trHeight w:val="32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5E3" w14:textId="53A198F4" w:rsidR="009613B7" w:rsidRPr="00CC2C56" w:rsidRDefault="009613B7" w:rsidP="00CC2C56">
            <w:pPr>
              <w:jc w:val="right"/>
              <w:rPr>
                <w:color w:val="000000"/>
                <w:sz w:val="20"/>
                <w:szCs w:val="28"/>
                <w:lang w:val="sr-Cyrl-RS" w:eastAsia="en-US"/>
              </w:rPr>
            </w:pPr>
            <w:r w:rsidRPr="00B72A65">
              <w:rPr>
                <w:color w:val="000000"/>
                <w:sz w:val="20"/>
                <w:szCs w:val="28"/>
                <w:lang w:val="en-US" w:eastAsia="en-US"/>
              </w:rPr>
              <w:t>42</w:t>
            </w:r>
            <w:r w:rsidR="00CC2C56">
              <w:rPr>
                <w:color w:val="000000"/>
                <w:sz w:val="20"/>
                <w:szCs w:val="28"/>
                <w:lang w:val="en-US" w:eastAsia="en-US"/>
              </w:rPr>
              <w:t>3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E017B" w14:textId="11CF0A50" w:rsidR="009613B7" w:rsidRPr="00B72A65" w:rsidRDefault="00CC2C56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  <w:r w:rsidRPr="00B72A65">
              <w:rPr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B87B" w14:textId="67B1BABF" w:rsidR="009613B7" w:rsidRPr="00E1081B" w:rsidRDefault="009613B7" w:rsidP="00CC2C56">
            <w:pPr>
              <w:jc w:val="center"/>
              <w:rPr>
                <w:b/>
                <w:color w:val="000000"/>
                <w:sz w:val="20"/>
                <w:szCs w:val="28"/>
                <w:lang w:val="en-US" w:eastAsia="en-US"/>
              </w:rPr>
            </w:pP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5.</w:t>
            </w:r>
            <w:r w:rsidR="00CC2C56">
              <w:rPr>
                <w:b/>
                <w:color w:val="000000"/>
                <w:sz w:val="20"/>
                <w:szCs w:val="28"/>
                <w:lang w:val="sr-Cyrl-RS" w:eastAsia="en-US"/>
              </w:rPr>
              <w:t>5</w:t>
            </w:r>
            <w:r>
              <w:rPr>
                <w:b/>
                <w:color w:val="000000"/>
                <w:sz w:val="20"/>
                <w:szCs w:val="28"/>
                <w:lang w:val="en-US" w:eastAsia="en-US"/>
              </w:rPr>
              <w:t>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16A2" w14:textId="345FC3AD" w:rsidR="009613B7" w:rsidRDefault="009613B7" w:rsidP="00745C61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176C" w14:textId="49178DB5" w:rsidR="009613B7" w:rsidRDefault="00CC2C56" w:rsidP="00145C7C">
            <w:pPr>
              <w:jc w:val="right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 w:rsidRPr="00CC2C56">
              <w:rPr>
                <w:b/>
                <w:color w:val="000000"/>
                <w:sz w:val="20"/>
                <w:szCs w:val="28"/>
                <w:lang w:val="en-US" w:eastAsia="en-US"/>
              </w:rPr>
              <w:t>5.500.000,00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6A84" w14:textId="21B97C79" w:rsidR="009613B7" w:rsidRPr="00CC2C56" w:rsidRDefault="00CC2C56" w:rsidP="00D52947">
            <w:pPr>
              <w:jc w:val="center"/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</w:pPr>
            <w:r>
              <w:rPr>
                <w:b/>
                <w:color w:val="000000" w:themeColor="text1"/>
                <w:sz w:val="20"/>
                <w:szCs w:val="28"/>
                <w:lang w:val="sr-Cyrl-RS" w:eastAsia="en-US"/>
              </w:rPr>
              <w:t>1.459.965,08</w:t>
            </w:r>
          </w:p>
        </w:tc>
      </w:tr>
      <w:tr w:rsidR="009613B7" w:rsidRPr="00B72A65" w14:paraId="129E7A0D" w14:textId="77777777" w:rsidTr="004A4448">
        <w:trPr>
          <w:trHeight w:val="242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235" w14:textId="77777777" w:rsidR="009613B7" w:rsidRPr="00B72A65" w:rsidRDefault="009613B7" w:rsidP="00536660">
            <w:pPr>
              <w:rPr>
                <w:color w:val="000000"/>
                <w:sz w:val="20"/>
                <w:szCs w:val="28"/>
                <w:lang w:val="en-US"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8911" w14:textId="77777777" w:rsidR="009613B7" w:rsidRPr="00B72A65" w:rsidRDefault="009613B7" w:rsidP="00536660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1488" w14:textId="647A0206" w:rsidR="009613B7" w:rsidRPr="00CC2C56" w:rsidRDefault="00CC2C56" w:rsidP="00E1081B">
            <w:pPr>
              <w:jc w:val="center"/>
              <w:rPr>
                <w:b/>
                <w:sz w:val="20"/>
                <w:szCs w:val="28"/>
                <w:lang w:val="sr-Cyrl-RS" w:eastAsia="en-US"/>
              </w:rPr>
            </w:pPr>
            <w:r>
              <w:rPr>
                <w:b/>
                <w:sz w:val="20"/>
                <w:szCs w:val="28"/>
                <w:lang w:val="sr-Cyrl-RS" w:eastAsia="en-US"/>
              </w:rPr>
              <w:t>5.500.000,00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8B0EC" w14:textId="23BAEC32" w:rsidR="009613B7" w:rsidRPr="00AF2F58" w:rsidRDefault="00AF2F58" w:rsidP="00745C61">
            <w:pPr>
              <w:jc w:val="center"/>
              <w:rPr>
                <w:b/>
                <w:sz w:val="20"/>
                <w:szCs w:val="28"/>
                <w:lang w:val="en-US" w:eastAsia="en-US"/>
              </w:rPr>
            </w:pPr>
            <w:r>
              <w:rPr>
                <w:b/>
                <w:sz w:val="20"/>
                <w:szCs w:val="28"/>
                <w:lang w:val="en-US" w:eastAsia="en-US"/>
              </w:rPr>
              <w:t>0,00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2FF7" w14:textId="667602BC" w:rsidR="009613B7" w:rsidRDefault="00CC2C56" w:rsidP="00145C7C">
            <w:pPr>
              <w:jc w:val="right"/>
              <w:rPr>
                <w:b/>
                <w:sz w:val="20"/>
                <w:szCs w:val="28"/>
                <w:lang w:val="sr-Cyrl-RS" w:eastAsia="en-US"/>
              </w:rPr>
            </w:pPr>
            <w:r w:rsidRPr="00CC2C56">
              <w:rPr>
                <w:b/>
                <w:sz w:val="20"/>
                <w:szCs w:val="28"/>
                <w:lang w:val="sr-Cyrl-RS" w:eastAsia="en-US"/>
              </w:rPr>
              <w:t>5.500.000,00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F596" w14:textId="218A2C6D" w:rsidR="009613B7" w:rsidRPr="00BA4A76" w:rsidRDefault="00CC2C56" w:rsidP="00D52947">
            <w:pPr>
              <w:jc w:val="center"/>
              <w:rPr>
                <w:b/>
                <w:color w:val="000000" w:themeColor="text1"/>
                <w:sz w:val="20"/>
                <w:szCs w:val="28"/>
                <w:lang w:val="en-US" w:eastAsia="en-US"/>
              </w:rPr>
            </w:pPr>
            <w:r w:rsidRPr="00CC2C56">
              <w:rPr>
                <w:b/>
                <w:color w:val="000000" w:themeColor="text1"/>
                <w:sz w:val="20"/>
                <w:szCs w:val="28"/>
                <w:lang w:val="en-US" w:eastAsia="en-US"/>
              </w:rPr>
              <w:t>1.459.965,08</w:t>
            </w:r>
          </w:p>
        </w:tc>
      </w:tr>
    </w:tbl>
    <w:p w14:paraId="64BCF02E" w14:textId="77777777" w:rsidR="005837D9" w:rsidRPr="00CC4D1A" w:rsidRDefault="005837D9" w:rsidP="005837D9">
      <w:pPr>
        <w:rPr>
          <w:lang w:val="sr-Cyrl-RS"/>
        </w:rPr>
      </w:pPr>
    </w:p>
    <w:p w14:paraId="3F56FC0A" w14:textId="77777777" w:rsidR="005837D9" w:rsidRDefault="005837D9" w:rsidP="00AA297E">
      <w:pPr>
        <w:rPr>
          <w:b/>
          <w:lang w:val="sr-Cyrl-RS"/>
        </w:rPr>
      </w:pPr>
    </w:p>
    <w:p w14:paraId="688C407A" w14:textId="77777777" w:rsidR="00605F0F" w:rsidRDefault="00605F0F" w:rsidP="00AA297E">
      <w:pPr>
        <w:rPr>
          <w:b/>
          <w:lang w:val="sr-Cyrl-RS"/>
        </w:rPr>
      </w:pPr>
    </w:p>
    <w:p w14:paraId="070FD19F" w14:textId="77777777" w:rsidR="0064575F" w:rsidRDefault="0064575F" w:rsidP="00AA297E">
      <w:pPr>
        <w:rPr>
          <w:b/>
          <w:lang w:val="sr-Cyrl-RS"/>
        </w:rPr>
      </w:pPr>
    </w:p>
    <w:p w14:paraId="4CD710B0" w14:textId="77777777" w:rsidR="00CC2C56" w:rsidRDefault="00CC2C56" w:rsidP="00AA297E">
      <w:pPr>
        <w:rPr>
          <w:b/>
          <w:lang w:val="sr-Cyrl-RS"/>
        </w:rPr>
      </w:pPr>
    </w:p>
    <w:p w14:paraId="30C364B3" w14:textId="77777777" w:rsidR="0064575F" w:rsidRDefault="0064575F" w:rsidP="0064575F">
      <w:pPr>
        <w:rPr>
          <w:sz w:val="20"/>
          <w:szCs w:val="20"/>
          <w:lang w:val="sr-Cyrl-RS"/>
        </w:rPr>
      </w:pPr>
      <w:r w:rsidRPr="00305EAC">
        <w:rPr>
          <w:b/>
          <w:sz w:val="20"/>
          <w:szCs w:val="20"/>
          <w:lang w:val="sr-Cyrl-RS"/>
        </w:rPr>
        <w:t>Напомена:</w:t>
      </w:r>
      <w:r>
        <w:rPr>
          <w:sz w:val="20"/>
          <w:szCs w:val="20"/>
          <w:lang w:val="sr-Cyrl-RS"/>
        </w:rPr>
        <w:t xml:space="preserve"> </w:t>
      </w:r>
    </w:p>
    <w:p w14:paraId="52FAFFD1" w14:textId="49D41D70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1. Колона – Средства одобрена Законом о буџету за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.годину</w:t>
      </w:r>
    </w:p>
    <w:p w14:paraId="0234D823" w14:textId="51E28B60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2. Колона – Средства измењена текућом буџетском ре</w:t>
      </w:r>
      <w:r w:rsidR="0036352C">
        <w:rPr>
          <w:sz w:val="20"/>
          <w:szCs w:val="20"/>
          <w:lang w:val="sr-Cyrl-RS"/>
        </w:rPr>
        <w:t>з</w:t>
      </w:r>
      <w:r>
        <w:rPr>
          <w:sz w:val="20"/>
          <w:szCs w:val="20"/>
          <w:lang w:val="sr-Cyrl-RS"/>
        </w:rPr>
        <w:t>ервом</w:t>
      </w:r>
    </w:p>
    <w:p w14:paraId="405456B6" w14:textId="77777777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3. Колона – Средства текуће апропријације са изменама из текуће буџетске резерве</w:t>
      </w:r>
    </w:p>
    <w:p w14:paraId="7E8F4D19" w14:textId="0D3E1EBB" w:rsidR="0064575F" w:rsidRDefault="0064575F" w:rsidP="0064575F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4.</w:t>
      </w:r>
      <w:r w:rsidRPr="0064575F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Колона – Средства извршена у току 20</w:t>
      </w:r>
      <w:r w:rsidR="004A4448">
        <w:rPr>
          <w:sz w:val="20"/>
          <w:szCs w:val="20"/>
          <w:lang w:val="sr-Cyrl-RS"/>
        </w:rPr>
        <w:t>2</w:t>
      </w:r>
      <w:r w:rsidR="009613B7">
        <w:rPr>
          <w:sz w:val="20"/>
          <w:szCs w:val="20"/>
          <w:lang w:val="sr-Cyrl-RS"/>
        </w:rPr>
        <w:t>1</w:t>
      </w:r>
      <w:r>
        <w:rPr>
          <w:sz w:val="20"/>
          <w:szCs w:val="20"/>
          <w:lang w:val="sr-Cyrl-RS"/>
        </w:rPr>
        <w:t>.године</w:t>
      </w:r>
    </w:p>
    <w:p w14:paraId="5A8DA5C7" w14:textId="77777777" w:rsidR="0064575F" w:rsidRDefault="0064575F" w:rsidP="00AA297E">
      <w:pPr>
        <w:rPr>
          <w:b/>
          <w:lang w:val="sr-Cyrl-RS"/>
        </w:rPr>
      </w:pPr>
    </w:p>
    <w:p w14:paraId="071D9A23" w14:textId="77777777" w:rsidR="0064575F" w:rsidRDefault="0064575F" w:rsidP="00AA297E">
      <w:pPr>
        <w:rPr>
          <w:b/>
          <w:lang w:val="sr-Cyrl-RS"/>
        </w:rPr>
      </w:pPr>
    </w:p>
    <w:p w14:paraId="4CF3915C" w14:textId="77777777" w:rsidR="00F73C9E" w:rsidRPr="00F73C9E" w:rsidRDefault="00F73C9E" w:rsidP="00AA297E">
      <w:pPr>
        <w:rPr>
          <w:b/>
          <w:lang w:val="sr-Cyrl-RS"/>
        </w:rPr>
      </w:pPr>
    </w:p>
    <w:p w14:paraId="36C42071" w14:textId="77777777" w:rsidR="00CC2C56" w:rsidRDefault="00CC2C56" w:rsidP="00AA297E">
      <w:pPr>
        <w:rPr>
          <w:b/>
          <w:lang w:val="sr-Cyrl-RS"/>
        </w:rPr>
      </w:pPr>
    </w:p>
    <w:p w14:paraId="2707B240" w14:textId="77777777" w:rsidR="00CA29F9" w:rsidRDefault="00CA29F9" w:rsidP="00AA297E">
      <w:pPr>
        <w:rPr>
          <w:b/>
          <w:lang w:val="sr-Cyrl-RS"/>
        </w:rPr>
      </w:pPr>
    </w:p>
    <w:p w14:paraId="6D4E14B8" w14:textId="77777777" w:rsidR="00CA29F9" w:rsidRDefault="00CA29F9" w:rsidP="00AA297E">
      <w:pPr>
        <w:rPr>
          <w:b/>
          <w:lang w:val="sr-Cyrl-RS"/>
        </w:rPr>
      </w:pPr>
    </w:p>
    <w:p w14:paraId="35D89EB2" w14:textId="77777777" w:rsidR="005837D9" w:rsidRDefault="005837D9" w:rsidP="005837D9">
      <w:pPr>
        <w:jc w:val="center"/>
        <w:rPr>
          <w:b/>
          <w:lang w:val="en-US"/>
        </w:rPr>
      </w:pPr>
    </w:p>
    <w:p w14:paraId="6CCEFA63" w14:textId="4C1BFB80" w:rsidR="005837D9" w:rsidRDefault="00605F0F" w:rsidP="005837D9">
      <w:pPr>
        <w:jc w:val="center"/>
        <w:rPr>
          <w:b/>
          <w:lang w:val="sr-Cyrl-RS"/>
        </w:rPr>
      </w:pPr>
      <w:r w:rsidRPr="00CC4D1A">
        <w:rPr>
          <w:b/>
          <w:lang w:val="sr-Cyrl-RS"/>
        </w:rPr>
        <w:lastRenderedPageBreak/>
        <w:t xml:space="preserve">Раздео </w:t>
      </w:r>
      <w:r>
        <w:rPr>
          <w:b/>
          <w:lang w:val="sr-Cyrl-RS"/>
        </w:rPr>
        <w:t>7</w:t>
      </w:r>
      <w:r w:rsidRPr="00CC4D1A">
        <w:rPr>
          <w:b/>
          <w:lang w:val="sr-Cyrl-RS"/>
        </w:rPr>
        <w:t xml:space="preserve"> </w:t>
      </w:r>
      <w:r>
        <w:rPr>
          <w:b/>
          <w:lang w:val="sr-Cyrl-RS"/>
        </w:rPr>
        <w:t>Државно веће тужилаца</w:t>
      </w:r>
      <w:r w:rsidRPr="00CC4D1A">
        <w:rPr>
          <w:b/>
          <w:lang w:val="sr-Cyrl-RS"/>
        </w:rPr>
        <w:t xml:space="preserve"> </w:t>
      </w:r>
    </w:p>
    <w:p w14:paraId="54B2B6E0" w14:textId="589C0A6F" w:rsidR="00605F0F" w:rsidRPr="008A25F0" w:rsidRDefault="00F73C9E" w:rsidP="00605F0F">
      <w:pPr>
        <w:jc w:val="center"/>
        <w:rPr>
          <w:lang w:val="sr-Cyrl-RS"/>
        </w:rPr>
      </w:pPr>
      <w:r w:rsidRPr="008A25F0">
        <w:rPr>
          <w:lang w:val="sr-Cyrl-RS"/>
        </w:rPr>
        <w:t xml:space="preserve">Програм 1602 </w:t>
      </w:r>
      <w:r w:rsidR="00605F0F" w:rsidRPr="008A25F0">
        <w:rPr>
          <w:lang w:val="sr-Cyrl-RS"/>
        </w:rPr>
        <w:t>Пројекат 0004</w:t>
      </w:r>
    </w:p>
    <w:p w14:paraId="5E1A1B89" w14:textId="77777777" w:rsidR="0064575F" w:rsidRDefault="0064575F" w:rsidP="00605F0F">
      <w:pPr>
        <w:rPr>
          <w:b/>
          <w:lang w:val="sr-Cyrl-RS"/>
        </w:rPr>
      </w:pPr>
    </w:p>
    <w:p w14:paraId="2A9F3A93" w14:textId="77777777" w:rsidR="005837D9" w:rsidRPr="00CC4D1A" w:rsidRDefault="005837D9" w:rsidP="005837D9">
      <w:pPr>
        <w:rPr>
          <w:b/>
          <w:lang w:val="sr-Cyrl-RS"/>
        </w:rPr>
      </w:pP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530"/>
        <w:gridCol w:w="1530"/>
        <w:gridCol w:w="1800"/>
      </w:tblGrid>
      <w:tr w:rsidR="00AA297E" w:rsidRPr="00B72A65" w14:paraId="224798E0" w14:textId="77777777" w:rsidTr="00CA1BFF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F125" w14:textId="77777777"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E6D0" w14:textId="77777777" w:rsidR="00AA297E" w:rsidRPr="00B72A65" w:rsidRDefault="00AA297E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99E" w14:textId="77777777" w:rsidR="00AA297E" w:rsidRDefault="00AA297E" w:rsidP="00536660">
            <w:pPr>
              <w:jc w:val="center"/>
              <w:rPr>
                <w:color w:val="000000"/>
                <w:sz w:val="20"/>
                <w:szCs w:val="28"/>
                <w:lang w:val="sr-Cyrl-RS" w:eastAsia="en-US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АПРОПРИЈАЦИЈЕ</w:t>
            </w:r>
          </w:p>
          <w:p w14:paraId="6BE9A635" w14:textId="27047F6F" w:rsidR="00AA297E" w:rsidRPr="000416D0" w:rsidRDefault="00AA297E" w:rsidP="009613B7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8"/>
                <w:lang w:val="sr-Cyrl-RS" w:eastAsia="en-US"/>
              </w:rPr>
              <w:t>Одобрене 20</w:t>
            </w:r>
            <w:r w:rsidR="004A4448">
              <w:rPr>
                <w:color w:val="000000"/>
                <w:sz w:val="20"/>
                <w:szCs w:val="28"/>
                <w:lang w:val="sr-Cyrl-RS" w:eastAsia="en-US"/>
              </w:rPr>
              <w:t>2</w:t>
            </w:r>
            <w:r w:rsidR="009613B7">
              <w:rPr>
                <w:color w:val="000000"/>
                <w:sz w:val="20"/>
                <w:szCs w:val="28"/>
                <w:lang w:val="sr-Cyrl-RS" w:eastAsia="en-US"/>
              </w:rPr>
              <w:t>1</w:t>
            </w:r>
            <w:r>
              <w:rPr>
                <w:color w:val="000000"/>
                <w:sz w:val="20"/>
                <w:szCs w:val="28"/>
                <w:lang w:val="en-GB" w:eastAsia="en-US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A27DA" w14:textId="0576F9BE" w:rsidR="00AA297E" w:rsidRPr="008959FE" w:rsidRDefault="00AA297E" w:rsidP="009613B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Измене у току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 xml:space="preserve">. </w:t>
            </w:r>
            <w:r w:rsidR="0036352C">
              <w:rPr>
                <w:color w:val="000000"/>
                <w:sz w:val="20"/>
                <w:szCs w:val="20"/>
                <w:lang w:val="sr-Cyrl-RS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sr-Cyrl-RS"/>
              </w:rPr>
              <w:t>ТБР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5EA" w14:textId="7CE6FCA7" w:rsidR="00AA297E" w:rsidRPr="00AA297E" w:rsidRDefault="00AA297E" w:rsidP="009613B7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Текуће апропријације у 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541" w14:textId="77777777" w:rsidR="00CA1BFF" w:rsidRDefault="00AA297E" w:rsidP="0065612E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 Извршење буџета за период </w:t>
            </w:r>
          </w:p>
          <w:p w14:paraId="064F10E3" w14:textId="1DF5EE06" w:rsidR="00AA297E" w:rsidRPr="00B72A65" w:rsidRDefault="00AA297E" w:rsidP="009613B7">
            <w:pPr>
              <w:jc w:val="center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01.01.-</w:t>
            </w:r>
            <w:r>
              <w:rPr>
                <w:color w:val="000000"/>
                <w:sz w:val="20"/>
                <w:szCs w:val="20"/>
                <w:lang w:val="sr-Cyrl-RS"/>
              </w:rPr>
              <w:t>3</w:t>
            </w:r>
            <w:r w:rsidR="0022299C">
              <w:rPr>
                <w:color w:val="000000"/>
                <w:sz w:val="20"/>
                <w:szCs w:val="20"/>
                <w:lang w:val="sr-Cyrl-RS"/>
              </w:rPr>
              <w:t>1</w:t>
            </w:r>
            <w:r>
              <w:rPr>
                <w:color w:val="000000"/>
                <w:sz w:val="20"/>
                <w:szCs w:val="20"/>
                <w:lang w:val="sr-Cyrl-RS"/>
              </w:rPr>
              <w:t>.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03</w:t>
            </w:r>
            <w:r w:rsidRPr="00B72A65">
              <w:rPr>
                <w:color w:val="000000"/>
                <w:sz w:val="20"/>
                <w:szCs w:val="20"/>
              </w:rPr>
              <w:t>.20</w:t>
            </w:r>
            <w:r w:rsidR="004A4448">
              <w:rPr>
                <w:color w:val="000000"/>
                <w:sz w:val="20"/>
                <w:szCs w:val="20"/>
                <w:lang w:val="sr-Cyrl-RS"/>
              </w:rPr>
              <w:t>2</w:t>
            </w:r>
            <w:r w:rsidR="009613B7">
              <w:rPr>
                <w:color w:val="000000"/>
                <w:sz w:val="20"/>
                <w:szCs w:val="20"/>
                <w:lang w:val="sr-Cyrl-RS"/>
              </w:rPr>
              <w:t>1</w:t>
            </w:r>
            <w:r w:rsidRPr="00B72A6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C2C56" w:rsidRPr="00B72A65" w14:paraId="12185BCD" w14:textId="77777777" w:rsidTr="000272A7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9CFF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164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Плате, додаци и накнаде запослених (зараде)-НПФ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F922" w14:textId="562773D1" w:rsidR="00CC2C56" w:rsidRPr="009613B7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55.766.000,00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A62D8" w14:textId="1430E101" w:rsidR="00CC2C56" w:rsidRPr="007C2054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BFA" w14:textId="2D2220CE" w:rsidR="00CC2C56" w:rsidRPr="007C2054" w:rsidRDefault="00CC2C5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55.766.000,00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C1AF" w14:textId="650E77D6" w:rsidR="00CC2C56" w:rsidRPr="00232425" w:rsidRDefault="00232425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12.224.070,75</w:t>
            </w:r>
          </w:p>
        </w:tc>
      </w:tr>
      <w:tr w:rsidR="00CC2C56" w:rsidRPr="00B72A65" w14:paraId="1E8FC03C" w14:textId="77777777" w:rsidTr="000272A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7973" w14:textId="34473948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108A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Социјални доприноси на терет послодавца -НПФ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36DA" w14:textId="19950518" w:rsidR="00CC2C56" w:rsidRPr="009613B7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9.313.000,00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364A" w14:textId="323495B7" w:rsidR="00CC2C56" w:rsidRPr="007C2054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C2A" w14:textId="78C97642" w:rsidR="00CC2C56" w:rsidRPr="007C2054" w:rsidRDefault="00CC2C5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9.313.000,00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CE0E" w14:textId="771833B1" w:rsidR="00CC2C56" w:rsidRPr="00232425" w:rsidRDefault="00232425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2.035.307,74</w:t>
            </w:r>
          </w:p>
        </w:tc>
      </w:tr>
      <w:tr w:rsidR="00CC2C56" w:rsidRPr="00B72A65" w14:paraId="1168DAA9" w14:textId="77777777" w:rsidTr="000272A7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8CC6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4CA4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у натури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8B4" w14:textId="33B45969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140.000,00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C62" w14:textId="266069B8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B358" w14:textId="733ABF75" w:rsidR="00CC2C56" w:rsidRPr="004458F3" w:rsidRDefault="00CC2C5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140.000,00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0557" w14:textId="7683FD2A" w:rsidR="00CC2C56" w:rsidRPr="00232425" w:rsidRDefault="00232425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0,00</w:t>
            </w:r>
          </w:p>
        </w:tc>
      </w:tr>
      <w:tr w:rsidR="00CC2C56" w:rsidRPr="00B72A65" w14:paraId="168567B3" w14:textId="77777777" w:rsidTr="000272A7">
        <w:trPr>
          <w:trHeight w:val="3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933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387D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0322" w14:textId="5757FED9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294.000,00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2DC29" w14:textId="5BC48252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DC33" w14:textId="54730904" w:rsidR="00CC2C56" w:rsidRPr="004458F3" w:rsidRDefault="00CC2C5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294.000,00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05910" w14:textId="40943BCE" w:rsidR="00CC2C56" w:rsidRPr="00232425" w:rsidRDefault="00232425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69.000,00</w:t>
            </w:r>
          </w:p>
        </w:tc>
      </w:tr>
      <w:tr w:rsidR="00CC2C56" w:rsidRPr="00B72A65" w14:paraId="11879E3F" w14:textId="77777777" w:rsidTr="000272A7">
        <w:trPr>
          <w:trHeight w:val="3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E9F0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099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Накнаде трошкова за запослене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134" w14:textId="4512368F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6.306.000,00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16A4" w14:textId="1CC872C3" w:rsidR="00CC2C56" w:rsidRPr="00570AF0" w:rsidRDefault="00CC2C56" w:rsidP="00C207F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7C0" w14:textId="64C6DB98" w:rsidR="00CC2C56" w:rsidRPr="004458F3" w:rsidRDefault="00CC2C56" w:rsidP="00D853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6.306.000,00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DFE1" w14:textId="11C717F1" w:rsidR="00CC2C56" w:rsidRPr="00232425" w:rsidRDefault="00232425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1.666.053,48</w:t>
            </w:r>
          </w:p>
        </w:tc>
      </w:tr>
      <w:tr w:rsidR="00CC2C56" w:rsidRPr="00B72A65" w14:paraId="30402910" w14:textId="77777777" w:rsidTr="000272A7">
        <w:trPr>
          <w:trHeight w:val="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92C2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4FA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2CA6" w14:textId="049B24D3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381.000,00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AE22" w14:textId="50E756B1" w:rsidR="00CC2C56" w:rsidRPr="007C2054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FFF5" w14:textId="15BA60FF" w:rsidR="00CC2C56" w:rsidRPr="004458F3" w:rsidRDefault="00CC2C5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381.000,00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16EC" w14:textId="1DEE44AE" w:rsidR="00CC2C56" w:rsidRPr="00232425" w:rsidRDefault="00232425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0,00</w:t>
            </w:r>
          </w:p>
        </w:tc>
      </w:tr>
      <w:tr w:rsidR="00CC2C56" w:rsidRPr="00B72A65" w14:paraId="7D03214E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0FAC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108E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Стални трошкови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CD9C" w14:textId="13785D9E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1.200.000,00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B216" w14:textId="55F59273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CB8" w14:textId="52D23418" w:rsidR="00CC2C56" w:rsidRPr="004458F3" w:rsidRDefault="00CC2C56" w:rsidP="00D853DE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1.200.000,00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59CF" w14:textId="58CD8FAA" w:rsidR="00CC2C56" w:rsidRPr="00232425" w:rsidRDefault="00232425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196.788,39</w:t>
            </w:r>
          </w:p>
        </w:tc>
      </w:tr>
      <w:tr w:rsidR="00CC2C56" w:rsidRPr="00B72A65" w14:paraId="4D243479" w14:textId="77777777" w:rsidTr="000272A7">
        <w:trPr>
          <w:trHeight w:val="3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5A2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6210" w14:textId="77777777" w:rsidR="00CC2C56" w:rsidRPr="00B72A65" w:rsidRDefault="00CC2C56" w:rsidP="007C2054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D2D" w14:textId="68C091AC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1.850.000,00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5E7B" w14:textId="490030ED" w:rsidR="00CC2C56" w:rsidRPr="003B3A64" w:rsidRDefault="00CC2C56" w:rsidP="007C2054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DB2" w14:textId="6792B9CC" w:rsidR="00CC2C56" w:rsidRPr="007C205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1.850.000,00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A6A0" w14:textId="610D5F65" w:rsidR="00CC2C56" w:rsidRPr="00232425" w:rsidRDefault="00232425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4.780,00</w:t>
            </w:r>
          </w:p>
        </w:tc>
      </w:tr>
      <w:tr w:rsidR="00CC2C56" w:rsidRPr="00B72A65" w14:paraId="4E20E9EE" w14:textId="77777777" w:rsidTr="000272A7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D277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BDCE" w14:textId="77777777" w:rsidR="00CC2C56" w:rsidRPr="00B72A65" w:rsidRDefault="00CC2C56" w:rsidP="00605F0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Услуге по уговору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3F82" w14:textId="4F73400E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4.250.000,00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E41FE" w14:textId="2761C433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94AC" w14:textId="18F76C90" w:rsidR="00CC2C56" w:rsidRPr="003B3A6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4.250.000,00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27DCC" w14:textId="5911A272" w:rsidR="00CC2C56" w:rsidRPr="00232425" w:rsidRDefault="00232425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304.648,00</w:t>
            </w:r>
          </w:p>
        </w:tc>
      </w:tr>
      <w:tr w:rsidR="00CC2C56" w:rsidRPr="00B72A65" w14:paraId="4E15D016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3DC7" w14:textId="35DCB588" w:rsidR="00CC2C56" w:rsidRPr="00CC2C56" w:rsidRDefault="00CC2C56" w:rsidP="0053666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B49D" w14:textId="15EFADE5" w:rsidR="00CC2C56" w:rsidRPr="00F73C9E" w:rsidRDefault="00F73C9E" w:rsidP="00F73C9E">
            <w:pPr>
              <w:spacing w:line="360" w:lineRule="auto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Специјализоване услуге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C327" w14:textId="6F2CFE91" w:rsidR="00CC2C56" w:rsidRPr="00CC2C56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450.000,00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7A05" w14:textId="77777777" w:rsidR="00CC2C56" w:rsidRPr="00E1081B" w:rsidRDefault="00CC2C56" w:rsidP="00845676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D44" w14:textId="670C8BA8" w:rsidR="00CC2C56" w:rsidRDefault="00CC2C56" w:rsidP="00D853D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450.000,00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ADF4F" w14:textId="1491D9D1" w:rsidR="00CC2C56" w:rsidRPr="00232425" w:rsidRDefault="00232425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0,00</w:t>
            </w:r>
          </w:p>
        </w:tc>
      </w:tr>
      <w:tr w:rsidR="00CC2C56" w:rsidRPr="00B72A65" w14:paraId="61FDC4E2" w14:textId="77777777" w:rsidTr="000272A7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BBD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80E" w14:textId="77777777" w:rsidR="00CC2C56" w:rsidRPr="00B72A65" w:rsidRDefault="00CC2C56" w:rsidP="00605F0F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Текуће поправке и одржавање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F520" w14:textId="1EE8F007" w:rsidR="00CC2C56" w:rsidRPr="004458F3" w:rsidRDefault="00CC2C56" w:rsidP="00E10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100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7D67" w14:textId="6CB092AB" w:rsidR="00CC2C56" w:rsidRPr="00E1081B" w:rsidRDefault="00CC2C56" w:rsidP="00845676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BBC5" w14:textId="7FFE0F4A" w:rsidR="00CC2C56" w:rsidRPr="003B3A64" w:rsidRDefault="00CC2C56" w:rsidP="00D853DE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100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6F39" w14:textId="3A5DD7B4" w:rsidR="00CC2C56" w:rsidRPr="00232425" w:rsidRDefault="00232425" w:rsidP="00232425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22.560,00</w:t>
            </w:r>
          </w:p>
        </w:tc>
      </w:tr>
      <w:tr w:rsidR="00CC2C56" w:rsidRPr="00B72A65" w14:paraId="18E34C9C" w14:textId="77777777" w:rsidTr="000272A7">
        <w:trPr>
          <w:trHeight w:val="3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F082" w14:textId="77777777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A655" w14:textId="77777777" w:rsidR="00CC2C56" w:rsidRPr="00B72A65" w:rsidRDefault="00CC2C56" w:rsidP="00605F0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Материјал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AF56E" w14:textId="48AC1576" w:rsidR="00CC2C56" w:rsidRPr="004458F3" w:rsidRDefault="00CC2C56" w:rsidP="00E1081B">
            <w:pPr>
              <w:jc w:val="center"/>
              <w:rPr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1.100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3BD4" w14:textId="4CF7A886" w:rsidR="00CC2C56" w:rsidRPr="00845676" w:rsidRDefault="00CC2C56" w:rsidP="00845676">
            <w:pPr>
              <w:jc w:val="center"/>
              <w:rPr>
                <w:b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F6B5" w14:textId="454EB09B" w:rsidR="00CC2C56" w:rsidRPr="003B3A6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1.100</w:t>
            </w:r>
            <w:r>
              <w:rPr>
                <w:b/>
                <w:color w:val="000000"/>
                <w:sz w:val="20"/>
                <w:szCs w:val="20"/>
                <w:lang w:val="en-GB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2431" w14:textId="67B52EAE" w:rsidR="00CC2C56" w:rsidRPr="00232425" w:rsidRDefault="00232425" w:rsidP="00D52947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168.922,60</w:t>
            </w:r>
          </w:p>
        </w:tc>
      </w:tr>
      <w:tr w:rsidR="00CC2C56" w:rsidRPr="00B72A65" w14:paraId="61C451B5" w14:textId="77777777" w:rsidTr="000272A7">
        <w:trPr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CA39" w14:textId="34FA30A3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678" w14:textId="77777777" w:rsidR="00CC2C56" w:rsidRPr="00B72A65" w:rsidRDefault="00CC2C56" w:rsidP="00605F0F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 xml:space="preserve">Порези, обавезне таксе и казне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DAAA" w14:textId="4309F68E" w:rsidR="00CC2C56" w:rsidRPr="004458F3" w:rsidRDefault="00CC2C56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362E8" w14:textId="54090701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2C22" w14:textId="25371378" w:rsidR="00CC2C56" w:rsidRPr="003B3A6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45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E3A0" w14:textId="2CCCB050" w:rsidR="00CC2C56" w:rsidRPr="00232425" w:rsidRDefault="00232425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0,00</w:t>
            </w:r>
          </w:p>
        </w:tc>
      </w:tr>
      <w:tr w:rsidR="00CC2C56" w:rsidRPr="00B72A65" w14:paraId="20A00C7F" w14:textId="77777777" w:rsidTr="000272A7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07C9" w14:textId="56E8F0A5" w:rsidR="00CC2C56" w:rsidRPr="00B72A65" w:rsidRDefault="00CC2C56" w:rsidP="00536660">
            <w:pPr>
              <w:jc w:val="right"/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97F0" w14:textId="2DBA164D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  <w:r w:rsidRPr="00B72A65">
              <w:rPr>
                <w:color w:val="000000"/>
                <w:sz w:val="20"/>
                <w:szCs w:val="20"/>
              </w:rPr>
              <w:t>Новчане казне и пенали по решењу судова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BDEF" w14:textId="43EE076D" w:rsidR="00CC2C56" w:rsidRDefault="00CC2C56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42.595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85B4E" w14:textId="77777777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551" w14:textId="4CF2AF65" w:rsidR="00CC2C56" w:rsidRDefault="00CC2C5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42.595</w:t>
            </w:r>
            <w:r>
              <w:rPr>
                <w:b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D012" w14:textId="4394C481" w:rsidR="00CC2C56" w:rsidRPr="00232425" w:rsidRDefault="00232425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17.480,00</w:t>
            </w:r>
          </w:p>
        </w:tc>
      </w:tr>
      <w:tr w:rsidR="00CC2C56" w:rsidRPr="00B72A65" w14:paraId="57140A0F" w14:textId="77777777" w:rsidTr="000272A7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9236" w14:textId="1D9FB857" w:rsidR="00CC2C56" w:rsidRPr="00CC2C56" w:rsidRDefault="00CC2C56" w:rsidP="0053666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485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E1D5" w14:textId="2A8F4964" w:rsidR="00CC2C56" w:rsidRPr="00605F0F" w:rsidRDefault="00605F0F" w:rsidP="00536660">
            <w:pPr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7567" w14:textId="602705CD" w:rsidR="00CC2C56" w:rsidRDefault="00CC2C56" w:rsidP="00C207F3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3E620" w14:textId="77777777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78A" w14:textId="153F9680" w:rsidR="00CC2C56" w:rsidRDefault="00CC2C56" w:rsidP="005366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300.000,00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F42C" w14:textId="3D4361BB" w:rsidR="00CC2C56" w:rsidRPr="00232425" w:rsidRDefault="00232425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0,00</w:t>
            </w:r>
          </w:p>
        </w:tc>
      </w:tr>
      <w:tr w:rsidR="00CC2C56" w:rsidRPr="00B72A65" w14:paraId="602F57BF" w14:textId="77777777" w:rsidTr="00CC2C56"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6BC3" w14:textId="3EBF09E0" w:rsidR="00CC2C56" w:rsidRPr="00CC2C56" w:rsidRDefault="00CC2C56" w:rsidP="00536660">
            <w:pPr>
              <w:jc w:val="right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512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FDF9" w14:textId="6BC88BC9" w:rsidR="00CC2C56" w:rsidRPr="00605F0F" w:rsidRDefault="00605F0F" w:rsidP="00605F0F">
            <w:pPr>
              <w:spacing w:line="360" w:lineRule="auto"/>
              <w:rPr>
                <w:color w:val="000000"/>
                <w:sz w:val="20"/>
                <w:szCs w:val="20"/>
                <w:lang w:val="sr-Cyrl-RS"/>
              </w:rPr>
            </w:pPr>
            <w:r>
              <w:rPr>
                <w:color w:val="000000"/>
                <w:sz w:val="20"/>
                <w:szCs w:val="20"/>
                <w:lang w:val="sr-Cyrl-RS"/>
              </w:rPr>
              <w:t>Машине и опрема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DCAD" w14:textId="7DD238DB" w:rsidR="00CC2C56" w:rsidRPr="004458F3" w:rsidRDefault="00CC2C56" w:rsidP="00C207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500.000,00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9A8F" w14:textId="795E8189" w:rsidR="00CC2C56" w:rsidRPr="00E1081B" w:rsidRDefault="00CC2C56" w:rsidP="00C207F3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541" w14:textId="3FC01E7D" w:rsidR="00CC2C56" w:rsidRPr="003B3A64" w:rsidRDefault="00CC2C56" w:rsidP="0053666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500.000,00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9845" w14:textId="5D0906BE" w:rsidR="00CC2C56" w:rsidRPr="00232425" w:rsidRDefault="00232425" w:rsidP="007C2054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0,00</w:t>
            </w:r>
          </w:p>
        </w:tc>
      </w:tr>
      <w:tr w:rsidR="00CC2C56" w:rsidRPr="00B72A65" w14:paraId="562DB10C" w14:textId="77777777" w:rsidTr="00CA1BFF">
        <w:trPr>
          <w:trHeight w:val="3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61B92" w14:textId="77777777" w:rsidR="00CC2C56" w:rsidRPr="00B72A65" w:rsidRDefault="00CC2C56" w:rsidP="005366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C7A12" w14:textId="77777777" w:rsidR="00CC2C56" w:rsidRPr="00B72A65" w:rsidRDefault="00CC2C56" w:rsidP="00536660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C9B3" w14:textId="0966F4AB" w:rsidR="00CC2C56" w:rsidRPr="00232425" w:rsidRDefault="00232425" w:rsidP="009613B7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124.588.000,00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A49B" w14:textId="5503FFD9" w:rsidR="00CC2C56" w:rsidRPr="00AF2F58" w:rsidRDefault="00CC2C56" w:rsidP="00E04A3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9A36" w14:textId="4DC4EAA2" w:rsidR="00CC2C56" w:rsidRPr="00212F02" w:rsidRDefault="00232425" w:rsidP="00570AF0">
            <w:pPr>
              <w:jc w:val="center"/>
              <w:rPr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color w:val="000000"/>
                <w:sz w:val="20"/>
                <w:szCs w:val="20"/>
                <w:lang w:val="sr-Cyrl-RS"/>
              </w:rPr>
              <w:t>124.588.000,00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E388" w14:textId="129B1179" w:rsidR="00CC2C56" w:rsidRPr="00232425" w:rsidRDefault="00605F0F" w:rsidP="00F73C9E">
            <w:pPr>
              <w:jc w:val="center"/>
              <w:rPr>
                <w:b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16.70</w:t>
            </w:r>
            <w:r w:rsidR="00F73C9E">
              <w:rPr>
                <w:b/>
                <w:color w:val="000000" w:themeColor="text1"/>
                <w:sz w:val="20"/>
                <w:szCs w:val="20"/>
                <w:lang w:val="sr-Cyrl-RS"/>
              </w:rPr>
              <w:t>9</w:t>
            </w:r>
            <w:r>
              <w:rPr>
                <w:b/>
                <w:color w:val="000000" w:themeColor="text1"/>
                <w:sz w:val="20"/>
                <w:szCs w:val="20"/>
                <w:lang w:val="sr-Cyrl-RS"/>
              </w:rPr>
              <w:t>.610,96</w:t>
            </w:r>
          </w:p>
        </w:tc>
      </w:tr>
    </w:tbl>
    <w:p w14:paraId="43ACB73A" w14:textId="77777777" w:rsidR="009323F7" w:rsidRPr="00F73C9E" w:rsidRDefault="009323F7" w:rsidP="00E1081B">
      <w:pPr>
        <w:rPr>
          <w:b/>
          <w:lang w:val="sr-Cyrl-RS"/>
        </w:rPr>
      </w:pPr>
    </w:p>
    <w:p w14:paraId="53FE0ED3" w14:textId="77777777" w:rsidR="0064575F" w:rsidRDefault="0064575F" w:rsidP="005837D9">
      <w:pPr>
        <w:jc w:val="center"/>
        <w:rPr>
          <w:b/>
          <w:lang w:val="sr-Cyrl-RS"/>
        </w:rPr>
      </w:pPr>
    </w:p>
    <w:p w14:paraId="476E2AD8" w14:textId="77777777" w:rsidR="00605F0F" w:rsidRDefault="00605F0F" w:rsidP="00302D2E">
      <w:pPr>
        <w:rPr>
          <w:sz w:val="20"/>
          <w:szCs w:val="20"/>
          <w:lang w:val="sr-Cyrl-RS"/>
        </w:rPr>
      </w:pPr>
    </w:p>
    <w:p w14:paraId="4FF2D7D6" w14:textId="0EAE1527" w:rsidR="00A17CE1" w:rsidRPr="00A17CE1" w:rsidRDefault="00A17CE1" w:rsidP="00302D2E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1974"/>
        <w:gridCol w:w="1508"/>
        <w:gridCol w:w="1716"/>
        <w:gridCol w:w="1971"/>
      </w:tblGrid>
      <w:tr w:rsidR="00396F34" w:rsidRPr="00B72A65" w14:paraId="4C608457" w14:textId="77777777" w:rsidTr="00305EAC">
        <w:tc>
          <w:tcPr>
            <w:tcW w:w="3600" w:type="dxa"/>
            <w:shd w:val="clear" w:color="auto" w:fill="auto"/>
          </w:tcPr>
          <w:p w14:paraId="324F0D7A" w14:textId="7B6FE7C5" w:rsidR="00305EAC" w:rsidRPr="00CA29F9" w:rsidRDefault="00305EAC" w:rsidP="00CA29F9">
            <w:pPr>
              <w:rPr>
                <w:lang w:val="sr-Cyrl-RS"/>
              </w:rPr>
            </w:pPr>
            <w:r w:rsidRPr="00B72A65">
              <w:rPr>
                <w:lang w:val="sr-Cyrl-RS"/>
              </w:rPr>
              <w:t xml:space="preserve">Укупно за раздео </w:t>
            </w:r>
            <w:r w:rsidR="00CA29F9">
              <w:rPr>
                <w:lang w:val="sr-Latn-RS"/>
              </w:rPr>
              <w:t xml:space="preserve">7 </w:t>
            </w:r>
            <w:r w:rsidR="00CA29F9">
              <w:rPr>
                <w:lang w:val="sr-Cyrl-RS"/>
              </w:rPr>
              <w:t>- Джавно веће тужилаца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C4C7E8" w14:textId="0548F38E" w:rsidR="00305EAC" w:rsidRPr="0097373A" w:rsidRDefault="00605F0F" w:rsidP="003B64A8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sr-Cyrl-RS"/>
              </w:rPr>
              <w:t>130.088</w:t>
            </w:r>
            <w:r w:rsidR="00BA4A76">
              <w:rPr>
                <w:b/>
                <w:color w:val="000000"/>
                <w:lang w:val="en-US"/>
              </w:rPr>
              <w:t>.000,00</w:t>
            </w:r>
          </w:p>
        </w:tc>
        <w:tc>
          <w:tcPr>
            <w:tcW w:w="1530" w:type="dxa"/>
            <w:vAlign w:val="center"/>
          </w:tcPr>
          <w:p w14:paraId="2135C6CE" w14:textId="40852113" w:rsidR="00305EAC" w:rsidRPr="003B64A8" w:rsidRDefault="00AF2F58" w:rsidP="00396F3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0,00</w:t>
            </w:r>
          </w:p>
        </w:tc>
        <w:tc>
          <w:tcPr>
            <w:tcW w:w="1620" w:type="dxa"/>
            <w:vAlign w:val="center"/>
          </w:tcPr>
          <w:p w14:paraId="2718972B" w14:textId="4DA270A7" w:rsidR="00305EAC" w:rsidRPr="00C21CC2" w:rsidRDefault="00605F0F" w:rsidP="00396F34">
            <w:pPr>
              <w:jc w:val="right"/>
              <w:rPr>
                <w:b/>
                <w:lang w:val="en-US"/>
              </w:rPr>
            </w:pPr>
            <w:r>
              <w:rPr>
                <w:b/>
                <w:color w:val="000000"/>
                <w:lang w:val="sr-Cyrl-RS"/>
              </w:rPr>
              <w:t>130.088</w:t>
            </w:r>
            <w:r w:rsidR="00BA4A76">
              <w:rPr>
                <w:b/>
                <w:color w:val="000000"/>
                <w:lang w:val="en-US"/>
              </w:rPr>
              <w:t>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6C0749" w14:textId="520ACDAA" w:rsidR="00305EAC" w:rsidRPr="00F73C9E" w:rsidRDefault="00F73C9E" w:rsidP="00264F6F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18.169.576,04</w:t>
            </w:r>
          </w:p>
        </w:tc>
      </w:tr>
    </w:tbl>
    <w:p w14:paraId="2DC1CB28" w14:textId="77777777" w:rsidR="00305EAC" w:rsidRDefault="00305EAC" w:rsidP="00302D2E">
      <w:pPr>
        <w:rPr>
          <w:lang w:val="sr-Cyrl-RS"/>
        </w:rPr>
      </w:pPr>
    </w:p>
    <w:p w14:paraId="7E9B974B" w14:textId="7C474A1E" w:rsidR="00D90A6C" w:rsidRPr="0065612E" w:rsidRDefault="00302D2E" w:rsidP="00F149D5">
      <w:pPr>
        <w:jc w:val="both"/>
        <w:rPr>
          <w:b/>
          <w:lang w:val="sr-Cyrl-RS"/>
        </w:rPr>
      </w:pPr>
      <w:r>
        <w:rPr>
          <w:lang w:val="sr-Cyrl-RS"/>
        </w:rPr>
        <w:t>Укупно извршење буџета у</w:t>
      </w:r>
      <w:r w:rsidR="00841755">
        <w:rPr>
          <w:lang w:val="sr-Cyrl-RS"/>
        </w:rPr>
        <w:t xml:space="preserve"> </w:t>
      </w:r>
      <w:r w:rsidR="009613B7">
        <w:rPr>
          <w:lang w:val="sr-Cyrl-RS"/>
        </w:rPr>
        <w:t>првом</w:t>
      </w:r>
      <w:r w:rsidR="009C10FF">
        <w:rPr>
          <w:lang w:val="sr-Cyrl-RS"/>
        </w:rPr>
        <w:t xml:space="preserve"> </w:t>
      </w:r>
      <w:r w:rsidR="00841755">
        <w:rPr>
          <w:lang w:val="sr-Cyrl-RS"/>
        </w:rPr>
        <w:t>кварталу у</w:t>
      </w:r>
      <w:r>
        <w:rPr>
          <w:lang w:val="sr-Cyrl-RS"/>
        </w:rPr>
        <w:t xml:space="preserve"> 20</w:t>
      </w:r>
      <w:r w:rsidR="004A4448">
        <w:rPr>
          <w:lang w:val="sr-Cyrl-RS"/>
        </w:rPr>
        <w:t>2</w:t>
      </w:r>
      <w:r w:rsidR="009613B7">
        <w:rPr>
          <w:lang w:val="sr-Cyrl-RS"/>
        </w:rPr>
        <w:t>1</w:t>
      </w:r>
      <w:r w:rsidR="00F149D5">
        <w:rPr>
          <w:lang w:val="sr-Cyrl-RS"/>
        </w:rPr>
        <w:t xml:space="preserve">. години на разделу </w:t>
      </w:r>
      <w:r w:rsidR="00F73C9E">
        <w:rPr>
          <w:lang w:val="sr-Cyrl-RS"/>
        </w:rPr>
        <w:t>7</w:t>
      </w:r>
      <w:r w:rsidR="00F149D5">
        <w:rPr>
          <w:lang w:val="sr-Cyrl-RS"/>
        </w:rPr>
        <w:t xml:space="preserve">. </w:t>
      </w:r>
      <w:r w:rsidR="00F73C9E">
        <w:rPr>
          <w:lang w:val="sr-Cyrl-RS"/>
        </w:rPr>
        <w:t>Државно веће тужилаца,</w:t>
      </w:r>
      <w:r>
        <w:rPr>
          <w:lang w:val="sr-Cyrl-RS"/>
        </w:rPr>
        <w:t xml:space="preserve"> </w:t>
      </w:r>
      <w:r w:rsidR="00F73C9E">
        <w:rPr>
          <w:lang w:val="sr-Cyrl-RS"/>
        </w:rPr>
        <w:t>Програм 1602,</w:t>
      </w:r>
      <w:r w:rsidR="00F149D5">
        <w:rPr>
          <w:lang w:val="sr-Cyrl-RS"/>
        </w:rPr>
        <w:t xml:space="preserve"> </w:t>
      </w:r>
      <w:r w:rsidR="00F73C9E">
        <w:rPr>
          <w:lang w:val="sr-Cyrl-RS"/>
        </w:rPr>
        <w:t xml:space="preserve">Пројекат 0003 и 0004 </w:t>
      </w:r>
      <w:r>
        <w:rPr>
          <w:lang w:val="sr-Cyrl-RS"/>
        </w:rPr>
        <w:t xml:space="preserve">износи </w:t>
      </w:r>
      <w:r w:rsidR="00820330">
        <w:rPr>
          <w:lang w:val="sr-Cyrl-RS"/>
        </w:rPr>
        <w:t xml:space="preserve"> </w:t>
      </w:r>
      <w:r w:rsidR="00F73C9E">
        <w:rPr>
          <w:b/>
          <w:sz w:val="28"/>
          <w:szCs w:val="28"/>
          <w:lang w:val="sr-Cyrl-RS"/>
        </w:rPr>
        <w:t>14</w:t>
      </w:r>
      <w:r w:rsidR="00820330" w:rsidRPr="00820330">
        <w:rPr>
          <w:b/>
          <w:sz w:val="28"/>
          <w:szCs w:val="28"/>
          <w:lang w:val="sr-Cyrl-RS"/>
        </w:rPr>
        <w:t>,</w:t>
      </w:r>
      <w:r w:rsidR="00311738">
        <w:rPr>
          <w:b/>
          <w:sz w:val="28"/>
          <w:szCs w:val="28"/>
          <w:lang w:val="en-US"/>
        </w:rPr>
        <w:t>00</w:t>
      </w:r>
      <w:r w:rsidR="00B66BBA">
        <w:rPr>
          <w:lang w:val="en-US"/>
        </w:rPr>
        <w:t xml:space="preserve"> </w:t>
      </w:r>
      <w:r w:rsidRPr="00841755">
        <w:rPr>
          <w:b/>
          <w:color w:val="000000" w:themeColor="text1"/>
          <w:lang w:val="sr-Cyrl-RS"/>
        </w:rPr>
        <w:t>%</w:t>
      </w:r>
    </w:p>
    <w:sectPr w:rsidR="00D90A6C" w:rsidRPr="0065612E" w:rsidSect="00D6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79D5"/>
    <w:multiLevelType w:val="hybridMultilevel"/>
    <w:tmpl w:val="ED0EFA9E"/>
    <w:lvl w:ilvl="0" w:tplc="94947C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9"/>
    <w:rsid w:val="000144D0"/>
    <w:rsid w:val="000416D0"/>
    <w:rsid w:val="00046801"/>
    <w:rsid w:val="000D7623"/>
    <w:rsid w:val="000F1CC9"/>
    <w:rsid w:val="00145C7C"/>
    <w:rsid w:val="001626D7"/>
    <w:rsid w:val="00162BEB"/>
    <w:rsid w:val="00163D54"/>
    <w:rsid w:val="00167A1D"/>
    <w:rsid w:val="00187DDB"/>
    <w:rsid w:val="001E274C"/>
    <w:rsid w:val="001E2C38"/>
    <w:rsid w:val="0020241B"/>
    <w:rsid w:val="00211FC8"/>
    <w:rsid w:val="00212F02"/>
    <w:rsid w:val="0022299C"/>
    <w:rsid w:val="00232425"/>
    <w:rsid w:val="00264F6F"/>
    <w:rsid w:val="002707C8"/>
    <w:rsid w:val="002C090A"/>
    <w:rsid w:val="002F031E"/>
    <w:rsid w:val="00302D2E"/>
    <w:rsid w:val="00305EAC"/>
    <w:rsid w:val="00311738"/>
    <w:rsid w:val="0033292D"/>
    <w:rsid w:val="00334BF1"/>
    <w:rsid w:val="00343331"/>
    <w:rsid w:val="00350024"/>
    <w:rsid w:val="003568B6"/>
    <w:rsid w:val="0036352C"/>
    <w:rsid w:val="00365899"/>
    <w:rsid w:val="00377DDC"/>
    <w:rsid w:val="003843A0"/>
    <w:rsid w:val="00396F34"/>
    <w:rsid w:val="003B3A64"/>
    <w:rsid w:val="003B64A8"/>
    <w:rsid w:val="00445F8D"/>
    <w:rsid w:val="00467498"/>
    <w:rsid w:val="004708CD"/>
    <w:rsid w:val="00472E74"/>
    <w:rsid w:val="004A4448"/>
    <w:rsid w:val="004A6488"/>
    <w:rsid w:val="004B4136"/>
    <w:rsid w:val="00515D69"/>
    <w:rsid w:val="00520797"/>
    <w:rsid w:val="00532612"/>
    <w:rsid w:val="00536660"/>
    <w:rsid w:val="0054399D"/>
    <w:rsid w:val="00552285"/>
    <w:rsid w:val="00570AF0"/>
    <w:rsid w:val="00581970"/>
    <w:rsid w:val="005837D9"/>
    <w:rsid w:val="005965B3"/>
    <w:rsid w:val="005A304D"/>
    <w:rsid w:val="005B3106"/>
    <w:rsid w:val="005F27B2"/>
    <w:rsid w:val="005F7BC2"/>
    <w:rsid w:val="00605F0F"/>
    <w:rsid w:val="0064575F"/>
    <w:rsid w:val="0065612E"/>
    <w:rsid w:val="00686EFC"/>
    <w:rsid w:val="00692D48"/>
    <w:rsid w:val="006A3F0E"/>
    <w:rsid w:val="006B5013"/>
    <w:rsid w:val="006B6733"/>
    <w:rsid w:val="006D4E28"/>
    <w:rsid w:val="0071214E"/>
    <w:rsid w:val="00717169"/>
    <w:rsid w:val="00745C61"/>
    <w:rsid w:val="00760180"/>
    <w:rsid w:val="00780DED"/>
    <w:rsid w:val="00780E94"/>
    <w:rsid w:val="00792493"/>
    <w:rsid w:val="00795637"/>
    <w:rsid w:val="007B11CD"/>
    <w:rsid w:val="007C2054"/>
    <w:rsid w:val="007C3164"/>
    <w:rsid w:val="00815C2F"/>
    <w:rsid w:val="00820330"/>
    <w:rsid w:val="00841755"/>
    <w:rsid w:val="00845676"/>
    <w:rsid w:val="008544C9"/>
    <w:rsid w:val="00866874"/>
    <w:rsid w:val="008959FE"/>
    <w:rsid w:val="008A25F0"/>
    <w:rsid w:val="008A6594"/>
    <w:rsid w:val="008E554E"/>
    <w:rsid w:val="00924EDB"/>
    <w:rsid w:val="009323F7"/>
    <w:rsid w:val="0093431D"/>
    <w:rsid w:val="0094562E"/>
    <w:rsid w:val="0095262C"/>
    <w:rsid w:val="009613B7"/>
    <w:rsid w:val="0097373A"/>
    <w:rsid w:val="00975D74"/>
    <w:rsid w:val="009C10FF"/>
    <w:rsid w:val="009E31AA"/>
    <w:rsid w:val="009F4070"/>
    <w:rsid w:val="00A17CE1"/>
    <w:rsid w:val="00A33E21"/>
    <w:rsid w:val="00A93CF7"/>
    <w:rsid w:val="00AA297E"/>
    <w:rsid w:val="00AA7EF2"/>
    <w:rsid w:val="00AB2280"/>
    <w:rsid w:val="00AF2F58"/>
    <w:rsid w:val="00B23105"/>
    <w:rsid w:val="00B2541C"/>
    <w:rsid w:val="00B320C5"/>
    <w:rsid w:val="00B66BBA"/>
    <w:rsid w:val="00B707B0"/>
    <w:rsid w:val="00BA4A76"/>
    <w:rsid w:val="00C048F4"/>
    <w:rsid w:val="00C207F3"/>
    <w:rsid w:val="00C21CC2"/>
    <w:rsid w:val="00C43635"/>
    <w:rsid w:val="00C50892"/>
    <w:rsid w:val="00C6397C"/>
    <w:rsid w:val="00CA1BFF"/>
    <w:rsid w:val="00CA29F9"/>
    <w:rsid w:val="00CC2C56"/>
    <w:rsid w:val="00D041E1"/>
    <w:rsid w:val="00D25F8D"/>
    <w:rsid w:val="00D34470"/>
    <w:rsid w:val="00D35480"/>
    <w:rsid w:val="00D4496E"/>
    <w:rsid w:val="00D4605F"/>
    <w:rsid w:val="00D503C2"/>
    <w:rsid w:val="00D52947"/>
    <w:rsid w:val="00D60B75"/>
    <w:rsid w:val="00D803AD"/>
    <w:rsid w:val="00D82C33"/>
    <w:rsid w:val="00D853DE"/>
    <w:rsid w:val="00D90A6C"/>
    <w:rsid w:val="00DB67E1"/>
    <w:rsid w:val="00DB6BF0"/>
    <w:rsid w:val="00DE0ABE"/>
    <w:rsid w:val="00DE7A82"/>
    <w:rsid w:val="00DF04C6"/>
    <w:rsid w:val="00DF2F4F"/>
    <w:rsid w:val="00E035E5"/>
    <w:rsid w:val="00E04A34"/>
    <w:rsid w:val="00E1081B"/>
    <w:rsid w:val="00E72941"/>
    <w:rsid w:val="00EC425A"/>
    <w:rsid w:val="00EF00CF"/>
    <w:rsid w:val="00EF3461"/>
    <w:rsid w:val="00F149D5"/>
    <w:rsid w:val="00F33015"/>
    <w:rsid w:val="00F44DE4"/>
    <w:rsid w:val="00F54A18"/>
    <w:rsid w:val="00F60E8F"/>
    <w:rsid w:val="00F7073D"/>
    <w:rsid w:val="00F73C9E"/>
    <w:rsid w:val="00FA455F"/>
    <w:rsid w:val="00FB67B4"/>
    <w:rsid w:val="00FC420D"/>
    <w:rsid w:val="00FD02B4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A1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7D9"/>
    <w:pPr>
      <w:ind w:left="720"/>
    </w:pPr>
    <w:rPr>
      <w:rFonts w:eastAsia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E9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DD7D-13DF-4A10-AE47-035DA105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Vanja Martinovic</cp:lastModifiedBy>
  <cp:revision>2</cp:revision>
  <cp:lastPrinted>2021-04-23T07:48:00Z</cp:lastPrinted>
  <dcterms:created xsi:type="dcterms:W3CDTF">2021-04-23T07:55:00Z</dcterms:created>
  <dcterms:modified xsi:type="dcterms:W3CDTF">2021-04-23T07:55:00Z</dcterms:modified>
</cp:coreProperties>
</file>