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Група за планирање и извршење буџета јавних тужилаштава-</w:t>
      </w:r>
    </w:p>
    <w:p w:rsidR="005837D9" w:rsidRDefault="005837D9" w:rsidP="005837D9">
      <w:pPr>
        <w:rPr>
          <w:color w:val="000000"/>
          <w:lang w:val="ru-RU"/>
        </w:rPr>
      </w:pPr>
    </w:p>
    <w:p w:rsidR="00975D74" w:rsidRDefault="00975D74" w:rsidP="005837D9">
      <w:pPr>
        <w:rPr>
          <w:color w:val="000000"/>
          <w:lang w:val="ru-RU"/>
        </w:rPr>
      </w:pPr>
    </w:p>
    <w:p w:rsidR="00975D74" w:rsidRDefault="00975D74" w:rsidP="005837D9">
      <w:pPr>
        <w:rPr>
          <w:color w:val="000000"/>
          <w:lang w:val="sr-Cyrl-RS"/>
        </w:rPr>
      </w:pPr>
    </w:p>
    <w:p w:rsidR="005837D9" w:rsidRDefault="005837D9" w:rsidP="005837D9">
      <w:pPr>
        <w:jc w:val="both"/>
        <w:rPr>
          <w:lang w:val="sr-Cyrl-RS"/>
        </w:rPr>
      </w:pPr>
      <w:r>
        <w:rPr>
          <w:lang w:val="sr-Cyrl-RS"/>
        </w:rPr>
        <w:t xml:space="preserve">Транспарентност података о финансирању Државног већа тужилаца обезбеђена је на </w:t>
      </w:r>
      <w:r>
        <w:rPr>
          <w:lang w:val="sr-Cyrl-CS"/>
        </w:rPr>
        <w:t>веб</w:t>
      </w:r>
      <w:r>
        <w:rPr>
          <w:lang w:val="sr-Cyrl-RS"/>
        </w:rPr>
        <w:t xml:space="preserve"> презентацији Већа, на којој су објављени финансијски извештаји. Државно веће тужилаца презентацију ажурира квартално, тако да су на истој приказани табеларни прикази за </w:t>
      </w:r>
      <w:r w:rsidR="00311878">
        <w:rPr>
          <w:lang w:val="sr-Cyrl-RS"/>
        </w:rPr>
        <w:t>трећи</w:t>
      </w:r>
      <w:r w:rsidR="007B11CD">
        <w:rPr>
          <w:lang w:val="sr-Cyrl-RS"/>
        </w:rPr>
        <w:t xml:space="preserve"> квартал у 2018.</w:t>
      </w:r>
      <w:r>
        <w:rPr>
          <w:lang w:val="sr-Cyrl-RS"/>
        </w:rPr>
        <w:t xml:space="preserve"> за  </w:t>
      </w:r>
      <w:r w:rsidR="007B11CD">
        <w:rPr>
          <w:lang w:val="sr-Cyrl-RS"/>
        </w:rPr>
        <w:t>Ј</w:t>
      </w:r>
      <w:r>
        <w:rPr>
          <w:lang w:val="sr-Cyrl-RS"/>
        </w:rPr>
        <w:t>авна тужилаштва, на разделу 8, глави 8.0</w:t>
      </w:r>
      <w:r w:rsidR="00B2541C">
        <w:rPr>
          <w:lang w:val="en-GB"/>
        </w:rPr>
        <w:t xml:space="preserve">, 8.04, 8,05 </w:t>
      </w:r>
      <w:r w:rsidR="00B2541C">
        <w:rPr>
          <w:lang w:val="sr-Cyrl-RS"/>
        </w:rPr>
        <w:t>и 8.06 Јавна тужилаштва, апелациона, виша и основна</w:t>
      </w:r>
      <w:r w:rsidR="00B2541C">
        <w:rPr>
          <w:lang w:val="en-GB"/>
        </w:rPr>
        <w:t xml:space="preserve"> </w:t>
      </w:r>
      <w:r>
        <w:rPr>
          <w:lang w:val="sr-Cyrl-RS"/>
        </w:rPr>
        <w:t xml:space="preserve"> </w:t>
      </w:r>
      <w:r w:rsidR="00B2541C">
        <w:rPr>
          <w:lang w:val="sr-Cyrl-RS"/>
        </w:rPr>
        <w:t>ј</w:t>
      </w:r>
      <w:r>
        <w:rPr>
          <w:lang w:val="sr-Cyrl-RS"/>
        </w:rPr>
        <w:t xml:space="preserve">авна тужилаштва. </w:t>
      </w:r>
    </w:p>
    <w:p w:rsidR="00975D74" w:rsidRPr="00975D74" w:rsidRDefault="00975D74" w:rsidP="00975D74">
      <w:pPr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8.00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516"/>
        <w:gridCol w:w="4794"/>
        <w:gridCol w:w="2340"/>
        <w:gridCol w:w="2070"/>
      </w:tblGrid>
      <w:tr w:rsidR="00302D2E" w:rsidRPr="00B72A65" w:rsidTr="00302D2E">
        <w:trPr>
          <w:trHeight w:val="7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2E" w:rsidRDefault="00302D2E" w:rsidP="006F4BE8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302D2E" w:rsidRPr="00A1017D" w:rsidRDefault="00302D2E" w:rsidP="000416D0">
            <w:pPr>
              <w:jc w:val="center"/>
              <w:rPr>
                <w:color w:val="000000"/>
                <w:sz w:val="20"/>
                <w:szCs w:val="28"/>
                <w:lang w:val="en-GB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416D0">
              <w:rPr>
                <w:color w:val="000000"/>
                <w:sz w:val="20"/>
                <w:szCs w:val="28"/>
                <w:lang w:val="en-GB" w:eastAsia="en-US"/>
              </w:rPr>
              <w:t>8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2E" w:rsidRPr="00B72A65" w:rsidRDefault="00302D2E" w:rsidP="006B5013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Изврше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ње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буџета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период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01.01.-3</w:t>
            </w:r>
            <w:r w:rsidR="006B5013">
              <w:rPr>
                <w:color w:val="000000"/>
                <w:sz w:val="20"/>
                <w:szCs w:val="28"/>
                <w:lang w:val="en-GB" w:eastAsia="en-US"/>
              </w:rPr>
              <w:t>0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0416D0">
              <w:rPr>
                <w:color w:val="000000"/>
                <w:sz w:val="20"/>
                <w:szCs w:val="28"/>
                <w:lang w:val="en-GB" w:eastAsia="en-US"/>
              </w:rPr>
              <w:t>0</w:t>
            </w:r>
            <w:r w:rsidR="00815C2F">
              <w:rPr>
                <w:color w:val="000000"/>
                <w:sz w:val="20"/>
                <w:szCs w:val="28"/>
                <w:lang w:val="en-GB" w:eastAsia="en-US"/>
              </w:rPr>
              <w:t>9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>.201</w:t>
            </w:r>
            <w:r w:rsidR="000416D0">
              <w:rPr>
                <w:color w:val="000000"/>
                <w:sz w:val="20"/>
                <w:szCs w:val="28"/>
                <w:lang w:val="en-GB" w:eastAsia="en-US"/>
              </w:rPr>
              <w:t>8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. </w:t>
            </w:r>
          </w:p>
        </w:tc>
      </w:tr>
      <w:tr w:rsidR="00302D2E" w:rsidRPr="00B72A65" w:rsidTr="00302D2E">
        <w:trPr>
          <w:trHeight w:val="2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421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8"/>
                <w:lang w:val="en-US" w:eastAsia="en-US"/>
              </w:rPr>
            </w:pP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Стални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трошкови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F56B42" w:rsidRDefault="00302D2E" w:rsidP="002C090A">
            <w:pPr>
              <w:jc w:val="right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 w:rsidRPr="00F56B42">
              <w:rPr>
                <w:b/>
                <w:color w:val="000000"/>
                <w:sz w:val="20"/>
                <w:szCs w:val="28"/>
                <w:lang w:val="en-US" w:eastAsia="en-US"/>
              </w:rPr>
              <w:t xml:space="preserve">             </w:t>
            </w:r>
            <w:r>
              <w:rPr>
                <w:b/>
                <w:color w:val="000000"/>
                <w:sz w:val="20"/>
                <w:szCs w:val="28"/>
                <w:lang w:val="sr-Cyrl-RS" w:eastAsia="en-US"/>
              </w:rPr>
              <w:t>4</w:t>
            </w:r>
            <w:r w:rsidRPr="00F56B42">
              <w:rPr>
                <w:b/>
                <w:color w:val="000000"/>
                <w:sz w:val="20"/>
                <w:szCs w:val="28"/>
                <w:lang w:val="en-US" w:eastAsia="en-US"/>
              </w:rPr>
              <w:t>.</w:t>
            </w:r>
            <w:r w:rsidR="002C090A">
              <w:rPr>
                <w:b/>
                <w:color w:val="000000"/>
                <w:sz w:val="20"/>
                <w:szCs w:val="28"/>
                <w:lang w:val="en-GB" w:eastAsia="en-US"/>
              </w:rPr>
              <w:t>929</w:t>
            </w:r>
            <w:r w:rsidRPr="00F56B42">
              <w:rPr>
                <w:b/>
                <w:color w:val="000000"/>
                <w:sz w:val="20"/>
                <w:szCs w:val="28"/>
                <w:lang w:val="en-US" w:eastAsia="en-US"/>
              </w:rPr>
              <w:t xml:space="preserve">.000,00   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41755" w:rsidRDefault="001E274C" w:rsidP="006B5013">
            <w:pPr>
              <w:jc w:val="right"/>
              <w:rPr>
                <w:b/>
                <w:color w:val="000000" w:themeColor="text1"/>
                <w:sz w:val="20"/>
                <w:szCs w:val="28"/>
                <w:lang w:val="en-GB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GB" w:eastAsia="en-US"/>
              </w:rPr>
              <w:t>2.879.410,00</w:t>
            </w:r>
          </w:p>
        </w:tc>
      </w:tr>
      <w:tr w:rsidR="00302D2E" w:rsidRPr="00B72A65" w:rsidTr="00302D2E">
        <w:trPr>
          <w:trHeight w:val="1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Услуге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по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уговору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F56B42" w:rsidRDefault="00302D2E" w:rsidP="006F4BE8">
            <w:pPr>
              <w:jc w:val="right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 w:rsidRPr="00F56B42">
              <w:rPr>
                <w:b/>
                <w:color w:val="000000"/>
                <w:sz w:val="20"/>
                <w:szCs w:val="28"/>
                <w:lang w:val="en-US" w:eastAsia="en-US"/>
              </w:rPr>
              <w:t xml:space="preserve">             </w:t>
            </w:r>
            <w:r>
              <w:rPr>
                <w:b/>
                <w:color w:val="000000"/>
                <w:sz w:val="20"/>
                <w:szCs w:val="28"/>
                <w:lang w:val="sr-Cyrl-RS" w:eastAsia="en-US"/>
              </w:rPr>
              <w:t>2</w:t>
            </w:r>
            <w:r w:rsidRPr="00F56B42">
              <w:rPr>
                <w:b/>
                <w:color w:val="000000"/>
                <w:sz w:val="20"/>
                <w:szCs w:val="28"/>
                <w:lang w:val="en-US" w:eastAsia="en-US"/>
              </w:rPr>
              <w:t xml:space="preserve">.500.000,00   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41755" w:rsidRDefault="001E274C" w:rsidP="006B5013">
            <w:pPr>
              <w:jc w:val="right"/>
              <w:rPr>
                <w:b/>
                <w:color w:val="000000" w:themeColor="text1"/>
                <w:sz w:val="20"/>
                <w:szCs w:val="28"/>
                <w:lang w:val="en-GB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GB" w:eastAsia="en-US"/>
              </w:rPr>
              <w:t>1.422.840,00</w:t>
            </w:r>
          </w:p>
        </w:tc>
      </w:tr>
      <w:tr w:rsidR="00302D2E" w:rsidRPr="00B72A65" w:rsidTr="00302D2E">
        <w:trPr>
          <w:trHeight w:val="20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D2E" w:rsidRPr="00B72A65" w:rsidRDefault="00302D2E" w:rsidP="006F4BE8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D2E" w:rsidRPr="00CE036B" w:rsidRDefault="00302D2E" w:rsidP="006F4BE8">
            <w:pPr>
              <w:jc w:val="right"/>
              <w:rPr>
                <w:b/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41755" w:rsidRDefault="00302D2E" w:rsidP="006F4BE8">
            <w:pPr>
              <w:jc w:val="right"/>
              <w:rPr>
                <w:b/>
                <w:color w:val="000000" w:themeColor="text1"/>
                <w:sz w:val="20"/>
                <w:szCs w:val="28"/>
                <w:lang w:val="en-GB" w:eastAsia="en-US"/>
              </w:rPr>
            </w:pPr>
          </w:p>
        </w:tc>
      </w:tr>
      <w:tr w:rsidR="00302D2E" w:rsidRPr="00B72A65" w:rsidTr="00302D2E">
        <w:trPr>
          <w:trHeight w:val="24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082490" w:rsidRDefault="00302D2E" w:rsidP="002C090A">
            <w:pPr>
              <w:jc w:val="right"/>
              <w:rPr>
                <w:b/>
                <w:sz w:val="20"/>
                <w:szCs w:val="28"/>
                <w:lang w:val="en-U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</w:t>
            </w:r>
            <w:r w:rsidRPr="00082490">
              <w:rPr>
                <w:b/>
                <w:sz w:val="20"/>
                <w:szCs w:val="28"/>
                <w:lang w:val="en-US" w:eastAsia="en-US"/>
              </w:rPr>
              <w:t>.</w:t>
            </w:r>
            <w:r w:rsidR="002C090A">
              <w:rPr>
                <w:b/>
                <w:sz w:val="20"/>
                <w:szCs w:val="28"/>
                <w:lang w:val="en-GB" w:eastAsia="en-US"/>
              </w:rPr>
              <w:t>429</w:t>
            </w:r>
            <w:r w:rsidRPr="00082490">
              <w:rPr>
                <w:b/>
                <w:sz w:val="20"/>
                <w:szCs w:val="28"/>
                <w:lang w:val="en-US" w:eastAsia="en-US"/>
              </w:rPr>
              <w:t xml:space="preserve">.000,00      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41755" w:rsidRDefault="001E274C" w:rsidP="006B5013">
            <w:pPr>
              <w:jc w:val="right"/>
              <w:rPr>
                <w:b/>
                <w:color w:val="000000" w:themeColor="text1"/>
                <w:sz w:val="20"/>
                <w:szCs w:val="28"/>
                <w:lang w:val="en-GB" w:eastAsia="en-US"/>
              </w:rPr>
            </w:pPr>
            <w:r w:rsidRPr="00B707B0">
              <w:rPr>
                <w:b/>
                <w:sz w:val="20"/>
                <w:szCs w:val="28"/>
                <w:lang w:val="en-GB" w:eastAsia="en-US"/>
              </w:rPr>
              <w:t>4.302.250,00</w:t>
            </w:r>
          </w:p>
        </w:tc>
      </w:tr>
    </w:tbl>
    <w:p w:rsidR="005837D9" w:rsidRPr="00CC4D1A" w:rsidRDefault="005837D9" w:rsidP="005837D9">
      <w:pPr>
        <w:rPr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8.04 Апелациона јавна тужилаштва</w:t>
      </w:r>
    </w:p>
    <w:p w:rsidR="005837D9" w:rsidRPr="00CC4D1A" w:rsidRDefault="005837D9" w:rsidP="005837D9">
      <w:pPr>
        <w:rPr>
          <w:b/>
          <w:lang w:val="sr-Cyrl-RS"/>
        </w:rPr>
      </w:pPr>
    </w:p>
    <w:tbl>
      <w:tblPr>
        <w:tblW w:w="9450" w:type="dxa"/>
        <w:tblInd w:w="18" w:type="dxa"/>
        <w:tblLook w:val="04A0" w:firstRow="1" w:lastRow="0" w:firstColumn="1" w:lastColumn="0" w:noHBand="0" w:noVBand="1"/>
      </w:tblPr>
      <w:tblGrid>
        <w:gridCol w:w="516"/>
        <w:gridCol w:w="4524"/>
        <w:gridCol w:w="2340"/>
        <w:gridCol w:w="2070"/>
      </w:tblGrid>
      <w:tr w:rsidR="00302D2E" w:rsidRPr="00B72A65" w:rsidTr="006F4BE8">
        <w:trPr>
          <w:trHeight w:val="81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2E" w:rsidRDefault="00302D2E" w:rsidP="006F4BE8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302D2E" w:rsidRPr="000416D0" w:rsidRDefault="00302D2E" w:rsidP="000416D0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416D0">
              <w:rPr>
                <w:color w:val="000000"/>
                <w:sz w:val="20"/>
                <w:szCs w:val="28"/>
                <w:lang w:val="en-GB" w:eastAsia="en-US"/>
              </w:rPr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2E" w:rsidRPr="00B72A65" w:rsidRDefault="00302D2E" w:rsidP="00815C2F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01.01.-</w:t>
            </w:r>
            <w:r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6B5013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0416D0">
              <w:rPr>
                <w:color w:val="000000"/>
                <w:sz w:val="20"/>
                <w:szCs w:val="20"/>
                <w:lang w:val="en-GB"/>
              </w:rPr>
              <w:t>0</w:t>
            </w:r>
            <w:r w:rsidR="00815C2F">
              <w:rPr>
                <w:color w:val="000000"/>
                <w:sz w:val="20"/>
                <w:szCs w:val="20"/>
                <w:lang w:val="en-GB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416D0">
              <w:rPr>
                <w:color w:val="000000"/>
                <w:sz w:val="20"/>
                <w:szCs w:val="20"/>
                <w:lang w:val="en-GB"/>
              </w:rPr>
              <w:t>8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02D2E" w:rsidRPr="00B72A65" w:rsidTr="00815C2F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302D2E" w:rsidP="002C0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13</w:t>
            </w:r>
            <w:r w:rsidR="002C090A">
              <w:rPr>
                <w:b/>
                <w:color w:val="000000"/>
                <w:sz w:val="20"/>
                <w:szCs w:val="20"/>
                <w:lang w:val="en-GB"/>
              </w:rPr>
              <w:t>9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 w:rsidR="002C090A">
              <w:rPr>
                <w:b/>
                <w:color w:val="000000"/>
                <w:sz w:val="20"/>
                <w:szCs w:val="20"/>
                <w:lang w:val="sr-Latn-RS"/>
              </w:rPr>
              <w:t>235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1E274C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83.365.383,00</w:t>
            </w:r>
          </w:p>
        </w:tc>
      </w:tr>
      <w:tr w:rsidR="00302D2E" w:rsidRPr="00B72A65" w:rsidTr="00815C2F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302D2E" w:rsidP="002C0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="002C090A">
              <w:rPr>
                <w:b/>
                <w:color w:val="000000"/>
                <w:sz w:val="20"/>
                <w:szCs w:val="20"/>
                <w:lang w:val="en-GB"/>
              </w:rPr>
              <w:t>4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 w:rsidR="002C090A">
              <w:rPr>
                <w:b/>
                <w:color w:val="000000"/>
                <w:sz w:val="20"/>
                <w:szCs w:val="20"/>
                <w:lang w:val="en-GB"/>
              </w:rPr>
              <w:t>793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1E274C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14.921.685,00</w:t>
            </w:r>
          </w:p>
        </w:tc>
      </w:tr>
      <w:tr w:rsidR="00302D2E" w:rsidRPr="00B72A65" w:rsidTr="00815C2F">
        <w:trPr>
          <w:trHeight w:val="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302D2E" w:rsidP="006F4B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2.000.000,00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1E274C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424.834,00</w:t>
            </w:r>
          </w:p>
        </w:tc>
      </w:tr>
      <w:tr w:rsidR="00302D2E" w:rsidRPr="00B72A65" w:rsidTr="00815C2F">
        <w:trPr>
          <w:trHeight w:val="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302D2E" w:rsidP="002C0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 w:rsidR="002C090A">
              <w:rPr>
                <w:b/>
                <w:color w:val="000000"/>
                <w:sz w:val="20"/>
                <w:szCs w:val="20"/>
                <w:lang w:val="en-GB"/>
              </w:rPr>
              <w:t>014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1E274C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292.998,00</w:t>
            </w:r>
          </w:p>
        </w:tc>
      </w:tr>
      <w:tr w:rsidR="00302D2E" w:rsidRPr="00B72A65" w:rsidTr="00815C2F">
        <w:trPr>
          <w:trHeight w:val="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302D2E" w:rsidP="002C0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19.</w:t>
            </w:r>
            <w:r w:rsidR="002C090A">
              <w:rPr>
                <w:b/>
                <w:color w:val="000000"/>
                <w:sz w:val="20"/>
                <w:szCs w:val="20"/>
                <w:lang w:val="sr-Latn-RS"/>
              </w:rPr>
              <w:t>926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1E274C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7.520.622,00</w:t>
            </w:r>
          </w:p>
        </w:tc>
      </w:tr>
      <w:tr w:rsidR="00302D2E" w:rsidRPr="00B72A65" w:rsidTr="00815C2F">
        <w:trPr>
          <w:trHeight w:val="1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2C090A" w:rsidP="006F4B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</w:t>
            </w:r>
            <w:r w:rsidR="00302D2E" w:rsidRPr="004458F3">
              <w:rPr>
                <w:b/>
                <w:color w:val="000000"/>
                <w:sz w:val="20"/>
                <w:szCs w:val="20"/>
                <w:lang w:val="en-GB"/>
              </w:rPr>
              <w:t>00.000,</w:t>
            </w:r>
            <w:r w:rsidR="00302D2E"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1E274C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288.545,00</w:t>
            </w:r>
          </w:p>
        </w:tc>
      </w:tr>
      <w:tr w:rsidR="00302D2E" w:rsidRPr="00B72A65" w:rsidTr="00815C2F">
        <w:trPr>
          <w:trHeight w:val="1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2C090A" w:rsidP="002C090A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11</w:t>
            </w:r>
            <w:r w:rsidR="00302D2E"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527</w:t>
            </w:r>
            <w:r w:rsidR="00302D2E"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795637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3.956.312,00</w:t>
            </w:r>
          </w:p>
        </w:tc>
      </w:tr>
      <w:tr w:rsidR="00302D2E" w:rsidRPr="00B72A65" w:rsidTr="00815C2F">
        <w:trPr>
          <w:trHeight w:val="1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302D2E" w:rsidP="002C0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 w:rsidR="002C090A">
              <w:rPr>
                <w:b/>
                <w:color w:val="000000"/>
                <w:sz w:val="20"/>
                <w:szCs w:val="20"/>
                <w:lang w:val="sr-Latn-RS"/>
              </w:rPr>
              <w:t>455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795637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264.853,00</w:t>
            </w:r>
          </w:p>
        </w:tc>
      </w:tr>
      <w:tr w:rsidR="00302D2E" w:rsidRPr="00B72A65" w:rsidTr="00815C2F">
        <w:trPr>
          <w:trHeight w:val="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302D2E" w:rsidP="002C0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 w:rsidR="002C090A">
              <w:rPr>
                <w:b/>
                <w:color w:val="000000"/>
                <w:sz w:val="20"/>
                <w:szCs w:val="20"/>
                <w:lang w:val="sr-Latn-RS"/>
              </w:rPr>
              <w:t>794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795637" w:rsidP="006B501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1.202.831,00</w:t>
            </w:r>
          </w:p>
        </w:tc>
      </w:tr>
      <w:tr w:rsidR="00302D2E" w:rsidRPr="00B72A65" w:rsidTr="00815C2F">
        <w:trPr>
          <w:trHeight w:val="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2C090A" w:rsidP="002C0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="00302D2E"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45</w:t>
            </w:r>
            <w:r w:rsidR="00302D2E">
              <w:rPr>
                <w:b/>
                <w:color w:val="000000"/>
                <w:sz w:val="20"/>
                <w:szCs w:val="20"/>
                <w:lang w:val="sr-Latn-RS"/>
              </w:rPr>
              <w:t>0</w:t>
            </w:r>
            <w:r w:rsidR="00302D2E"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795637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349.525,00</w:t>
            </w:r>
          </w:p>
        </w:tc>
      </w:tr>
      <w:tr w:rsidR="00302D2E" w:rsidRPr="00B72A65" w:rsidTr="00815C2F">
        <w:trPr>
          <w:trHeight w:val="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2C090A" w:rsidP="002C090A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7</w:t>
            </w:r>
            <w:r w:rsidR="00302D2E"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 w:rsidR="00302D2E">
              <w:rPr>
                <w:b/>
                <w:color w:val="000000"/>
                <w:sz w:val="20"/>
                <w:szCs w:val="20"/>
                <w:lang w:val="en-GB"/>
              </w:rPr>
              <w:t>6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7</w:t>
            </w:r>
            <w:r w:rsidR="00302D2E">
              <w:rPr>
                <w:b/>
                <w:color w:val="000000"/>
                <w:sz w:val="20"/>
                <w:szCs w:val="20"/>
                <w:lang w:val="en-GB"/>
              </w:rPr>
              <w:t>0</w:t>
            </w:r>
            <w:r w:rsidR="00302D2E"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795637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2.016.896,00</w:t>
            </w:r>
          </w:p>
        </w:tc>
      </w:tr>
      <w:tr w:rsidR="00302D2E" w:rsidRPr="00B72A65" w:rsidTr="00815C2F">
        <w:trPr>
          <w:trHeight w:val="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2C090A" w:rsidP="006F4B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699</w:t>
            </w:r>
            <w:r w:rsidR="00302D2E"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="00302D2E"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795637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274.871,00</w:t>
            </w:r>
          </w:p>
        </w:tc>
      </w:tr>
      <w:tr w:rsidR="00302D2E" w:rsidRPr="00B72A65" w:rsidTr="00815C2F">
        <w:trPr>
          <w:trHeight w:val="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302D2E" w:rsidP="006F4B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6.000.000,00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795637" w:rsidP="005965B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D2E" w:rsidRPr="00B72A65" w:rsidTr="00815C2F">
        <w:trPr>
          <w:trHeight w:val="24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4458F3" w:rsidRDefault="00302D2E" w:rsidP="005207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520797">
              <w:rPr>
                <w:b/>
                <w:color w:val="000000"/>
                <w:sz w:val="20"/>
                <w:szCs w:val="20"/>
              </w:rPr>
              <w:t>21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="00520797">
              <w:rPr>
                <w:b/>
                <w:color w:val="000000"/>
                <w:sz w:val="20"/>
                <w:szCs w:val="20"/>
              </w:rPr>
              <w:t>963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5965B3" w:rsidRDefault="00795637" w:rsidP="006B501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114.879.355,00</w:t>
            </w:r>
          </w:p>
        </w:tc>
      </w:tr>
      <w:tr w:rsidR="007B11CD" w:rsidRPr="00B72A65" w:rsidTr="006F4BE8">
        <w:trPr>
          <w:trHeight w:val="24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CD" w:rsidRPr="007B11CD" w:rsidRDefault="007B11CD" w:rsidP="006F4BE8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CD" w:rsidRPr="00B72A65" w:rsidRDefault="007B11CD" w:rsidP="006F4BE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CD" w:rsidRDefault="007B11CD" w:rsidP="0052079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CD" w:rsidRPr="005965B3" w:rsidRDefault="007B11CD" w:rsidP="005965B3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7B11CD" w:rsidRDefault="007B11CD" w:rsidP="005837D9">
      <w:pPr>
        <w:jc w:val="center"/>
        <w:rPr>
          <w:b/>
          <w:lang w:val="sr-Cyrl-RS"/>
        </w:rPr>
      </w:pPr>
    </w:p>
    <w:p w:rsidR="007B11CD" w:rsidRDefault="007B11CD" w:rsidP="005837D9">
      <w:pPr>
        <w:jc w:val="center"/>
        <w:rPr>
          <w:b/>
          <w:lang w:val="sr-Cyrl-RS"/>
        </w:rPr>
      </w:pPr>
    </w:p>
    <w:p w:rsidR="00B2541C" w:rsidRDefault="00B2541C" w:rsidP="005837D9">
      <w:pPr>
        <w:jc w:val="center"/>
        <w:rPr>
          <w:b/>
          <w:lang w:val="sr-Cyrl-RS"/>
        </w:rPr>
      </w:pPr>
    </w:p>
    <w:p w:rsidR="005837D9" w:rsidRPr="00CC4D1A" w:rsidRDefault="00841755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Р</w:t>
      </w:r>
      <w:r w:rsidR="005837D9" w:rsidRPr="00CC4D1A">
        <w:rPr>
          <w:b/>
          <w:lang w:val="sr-Cyrl-RS"/>
        </w:rPr>
        <w:t>аздео 8 Јавна тужилаштва</w:t>
      </w:r>
    </w:p>
    <w:p w:rsidR="005837D9" w:rsidRPr="00026324" w:rsidRDefault="005837D9" w:rsidP="005837D9">
      <w:pPr>
        <w:jc w:val="center"/>
        <w:rPr>
          <w:b/>
          <w:lang w:val="en-US"/>
        </w:rPr>
      </w:pPr>
      <w:r>
        <w:rPr>
          <w:b/>
          <w:lang w:val="sr-Cyrl-RS"/>
        </w:rPr>
        <w:t>Глава 8.05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Виша</w:t>
      </w:r>
      <w:r w:rsidRPr="00CC4D1A">
        <w:rPr>
          <w:b/>
          <w:lang w:val="sr-Cyrl-RS"/>
        </w:rPr>
        <w:t xml:space="preserve"> јавна тужилаштва</w:t>
      </w:r>
    </w:p>
    <w:p w:rsidR="005837D9" w:rsidRPr="00AF02E9" w:rsidRDefault="005837D9" w:rsidP="005837D9">
      <w:pPr>
        <w:jc w:val="center"/>
        <w:rPr>
          <w:b/>
          <w:lang w:val="sr-Cyrl-RS"/>
        </w:rPr>
      </w:pPr>
    </w:p>
    <w:tbl>
      <w:tblPr>
        <w:tblW w:w="9450" w:type="dxa"/>
        <w:tblInd w:w="18" w:type="dxa"/>
        <w:tblLook w:val="04A0" w:firstRow="1" w:lastRow="0" w:firstColumn="1" w:lastColumn="0" w:noHBand="0" w:noVBand="1"/>
      </w:tblPr>
      <w:tblGrid>
        <w:gridCol w:w="516"/>
        <w:gridCol w:w="4524"/>
        <w:gridCol w:w="2340"/>
        <w:gridCol w:w="2070"/>
      </w:tblGrid>
      <w:tr w:rsidR="00302D2E" w:rsidRPr="00B72A65" w:rsidTr="006F4BE8">
        <w:trPr>
          <w:trHeight w:val="82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2E" w:rsidRDefault="00302D2E" w:rsidP="006F4BE8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302D2E" w:rsidRPr="005E0CBD" w:rsidRDefault="00302D2E" w:rsidP="000416D0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416D0">
              <w:rPr>
                <w:color w:val="000000"/>
                <w:sz w:val="20"/>
                <w:szCs w:val="28"/>
                <w:lang w:val="en-GB" w:eastAsia="en-US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2E" w:rsidRPr="00B72A65" w:rsidRDefault="00302D2E" w:rsidP="00815C2F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01.01.-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 xml:space="preserve"> 3</w:t>
            </w:r>
            <w:r w:rsidR="008E554E">
              <w:rPr>
                <w:color w:val="000000"/>
                <w:sz w:val="20"/>
                <w:szCs w:val="28"/>
                <w:lang w:val="en-GB" w:eastAsia="en-US"/>
              </w:rPr>
              <w:t>0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0416D0">
              <w:rPr>
                <w:color w:val="000000"/>
                <w:sz w:val="20"/>
                <w:szCs w:val="28"/>
                <w:lang w:val="en-GB" w:eastAsia="en-US"/>
              </w:rPr>
              <w:t>0</w:t>
            </w:r>
            <w:r w:rsidR="00815C2F">
              <w:rPr>
                <w:color w:val="000000"/>
                <w:sz w:val="20"/>
                <w:szCs w:val="28"/>
                <w:lang w:val="en-GB" w:eastAsia="en-US"/>
              </w:rPr>
              <w:t>9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>.201</w:t>
            </w:r>
            <w:r w:rsidR="000416D0">
              <w:rPr>
                <w:color w:val="000000"/>
                <w:sz w:val="20"/>
                <w:szCs w:val="28"/>
                <w:lang w:val="en-US" w:eastAsia="en-US"/>
              </w:rPr>
              <w:t>8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02D2E" w:rsidRPr="00B72A65" w:rsidTr="00815C2F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CE036B" w:rsidRDefault="00302D2E" w:rsidP="00520797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4</w:t>
            </w:r>
            <w:r w:rsidR="00520797">
              <w:rPr>
                <w:b/>
                <w:color w:val="000000"/>
                <w:sz w:val="20"/>
                <w:szCs w:val="20"/>
              </w:rPr>
              <w:t>57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 w:rsidR="00520797">
              <w:rPr>
                <w:b/>
                <w:color w:val="000000"/>
                <w:sz w:val="20"/>
                <w:szCs w:val="20"/>
              </w:rPr>
              <w:t>133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15C2F" w:rsidRDefault="00815C2F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333.676.957,00</w:t>
            </w:r>
          </w:p>
        </w:tc>
      </w:tr>
      <w:tr w:rsidR="00302D2E" w:rsidRPr="00B72A65" w:rsidTr="00815C2F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CE036B" w:rsidRDefault="00520797" w:rsidP="00520797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81</w:t>
            </w:r>
            <w:r w:rsidR="00302D2E"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728</w:t>
            </w:r>
            <w:r w:rsidR="00302D2E"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15C2F" w:rsidRDefault="00815C2F" w:rsidP="00815C2F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59.726.351,00</w:t>
            </w:r>
          </w:p>
        </w:tc>
      </w:tr>
      <w:tr w:rsidR="00302D2E" w:rsidRPr="00B72A65" w:rsidTr="00815C2F">
        <w:trPr>
          <w:trHeight w:val="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5E0CBD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4.362.000,00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D25F8D" w:rsidRDefault="00815C2F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1.482.724,00</w:t>
            </w:r>
          </w:p>
        </w:tc>
      </w:tr>
      <w:tr w:rsidR="00302D2E" w:rsidRPr="00B72A65" w:rsidTr="00815C2F">
        <w:trPr>
          <w:trHeight w:val="1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5E0CBD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2.670.000,00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D25F8D" w:rsidRDefault="00815C2F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583.358,00</w:t>
            </w:r>
          </w:p>
        </w:tc>
      </w:tr>
      <w:tr w:rsidR="00302D2E" w:rsidRPr="00B72A65" w:rsidTr="00815C2F">
        <w:trPr>
          <w:trHeight w:val="1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5E0CBD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12.770.000,00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15C2F" w:rsidRDefault="00EC425A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6.979.760,00</w:t>
            </w:r>
          </w:p>
        </w:tc>
      </w:tr>
      <w:tr w:rsidR="00302D2E" w:rsidRPr="00B72A65" w:rsidTr="00815C2F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5E0CBD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15C2F" w:rsidRDefault="00EC425A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927.268,00</w:t>
            </w:r>
          </w:p>
        </w:tc>
      </w:tr>
      <w:tr w:rsidR="00302D2E" w:rsidRPr="00B72A65" w:rsidTr="00815C2F">
        <w:trPr>
          <w:trHeight w:val="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CE036B" w:rsidRDefault="00302D2E" w:rsidP="00520797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3</w:t>
            </w:r>
            <w:r w:rsidR="00520797">
              <w:rPr>
                <w:b/>
                <w:color w:val="000000"/>
                <w:sz w:val="20"/>
                <w:szCs w:val="20"/>
              </w:rPr>
              <w:t>6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520797">
              <w:rPr>
                <w:b/>
                <w:color w:val="000000"/>
                <w:sz w:val="20"/>
                <w:szCs w:val="20"/>
              </w:rPr>
              <w:t>44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15C2F" w:rsidRDefault="00815C2F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22.651.629,00</w:t>
            </w:r>
          </w:p>
        </w:tc>
      </w:tr>
      <w:tr w:rsidR="00302D2E" w:rsidRPr="00B72A65" w:rsidTr="00815C2F">
        <w:trPr>
          <w:trHeight w:val="20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5E0CBD" w:rsidRDefault="00520797" w:rsidP="006F4BE8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302D2E" w:rsidRPr="005E0CBD">
              <w:rPr>
                <w:b/>
                <w:color w:val="000000"/>
                <w:sz w:val="20"/>
                <w:szCs w:val="20"/>
              </w:rPr>
              <w:t>.</w:t>
            </w:r>
            <w:r w:rsidR="00302D2E">
              <w:rPr>
                <w:b/>
                <w:color w:val="000000"/>
                <w:sz w:val="20"/>
                <w:szCs w:val="20"/>
              </w:rPr>
              <w:t>500</w:t>
            </w:r>
            <w:r w:rsidR="00302D2E"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D25F8D" w:rsidRDefault="00AA7EF2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1.584.865,00</w:t>
            </w:r>
          </w:p>
        </w:tc>
      </w:tr>
      <w:tr w:rsidR="00302D2E" w:rsidRPr="00B72A65" w:rsidTr="00815C2F">
        <w:trPr>
          <w:trHeight w:val="1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5E0CBD" w:rsidRDefault="00302D2E" w:rsidP="00520797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40</w:t>
            </w:r>
            <w:r w:rsidR="00520797">
              <w:rPr>
                <w:b/>
                <w:color w:val="000000"/>
                <w:sz w:val="20"/>
                <w:szCs w:val="20"/>
                <w:lang w:val="en-GB"/>
              </w:rPr>
              <w:t>9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 w:rsidR="00520797">
              <w:rPr>
                <w:b/>
                <w:color w:val="000000"/>
                <w:sz w:val="20"/>
                <w:szCs w:val="20"/>
                <w:lang w:val="en-GB"/>
              </w:rPr>
              <w:t>659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AA7EF2" w:rsidRDefault="00AA7EF2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309.684.359,00</w:t>
            </w:r>
          </w:p>
        </w:tc>
      </w:tr>
      <w:tr w:rsidR="00302D2E" w:rsidRPr="00B72A65" w:rsidTr="00815C2F">
        <w:trPr>
          <w:trHeight w:val="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5E0CBD" w:rsidRDefault="00520797" w:rsidP="00520797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02D2E"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02D2E">
              <w:rPr>
                <w:b/>
                <w:color w:val="000000"/>
                <w:sz w:val="20"/>
                <w:szCs w:val="20"/>
              </w:rPr>
              <w:t>00</w:t>
            </w:r>
            <w:r w:rsidR="00302D2E"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AA7EF2" w:rsidRDefault="00AA7EF2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5.201.743,00</w:t>
            </w:r>
          </w:p>
        </w:tc>
      </w:tr>
      <w:tr w:rsidR="00302D2E" w:rsidRPr="00B72A65" w:rsidTr="00815C2F">
        <w:trPr>
          <w:trHeight w:val="1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5E0CBD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23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AA7EF2" w:rsidRDefault="00AA7EF2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13.261.092,00</w:t>
            </w:r>
          </w:p>
        </w:tc>
      </w:tr>
      <w:tr w:rsidR="00302D2E" w:rsidRPr="00B72A65" w:rsidTr="00815C2F">
        <w:trPr>
          <w:trHeight w:val="1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CE036B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</w:t>
            </w: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D25F8D" w:rsidRDefault="00AA7EF2" w:rsidP="008E554E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649.706,00</w:t>
            </w:r>
          </w:p>
        </w:tc>
      </w:tr>
      <w:tr w:rsidR="00302D2E" w:rsidRPr="00B72A65" w:rsidTr="00815C2F">
        <w:trPr>
          <w:trHeight w:val="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CE036B" w:rsidRDefault="00302D2E" w:rsidP="006F4B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D25F8D" w:rsidRDefault="00AA7EF2" w:rsidP="008E554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18.475.088,00</w:t>
            </w:r>
          </w:p>
        </w:tc>
      </w:tr>
      <w:tr w:rsidR="00302D2E" w:rsidRPr="00B72A65" w:rsidTr="00815C2F">
        <w:trPr>
          <w:trHeight w:val="25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D2E" w:rsidRPr="005E0CBD" w:rsidRDefault="00302D2E" w:rsidP="00520797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1.0</w:t>
            </w:r>
            <w:r w:rsidR="00520797">
              <w:rPr>
                <w:b/>
                <w:color w:val="000000"/>
                <w:sz w:val="20"/>
                <w:szCs w:val="20"/>
                <w:lang w:val="en-GB"/>
              </w:rPr>
              <w:t>70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 w:rsidR="00520797">
              <w:rPr>
                <w:b/>
                <w:color w:val="000000"/>
                <w:sz w:val="20"/>
                <w:szCs w:val="20"/>
                <w:lang w:val="en-GB"/>
              </w:rPr>
              <w:t>766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8A6594" w:rsidRDefault="008A6594" w:rsidP="008E554E">
            <w:pPr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B707B0">
              <w:rPr>
                <w:b/>
                <w:sz w:val="20"/>
                <w:szCs w:val="20"/>
                <w:lang w:val="en-US"/>
              </w:rPr>
              <w:t>774.884.900,00</w:t>
            </w:r>
          </w:p>
        </w:tc>
      </w:tr>
    </w:tbl>
    <w:p w:rsidR="005837D9" w:rsidRPr="003A4C4E" w:rsidRDefault="005837D9" w:rsidP="005837D9">
      <w:pPr>
        <w:rPr>
          <w:lang w:val="sr-Cyrl-R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Глава 8.06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Основна</w:t>
      </w:r>
      <w:r w:rsidRPr="00CC4D1A">
        <w:rPr>
          <w:b/>
          <w:lang w:val="sr-Cyrl-RS"/>
        </w:rPr>
        <w:t xml:space="preserve"> јавна тужилаштва</w:t>
      </w:r>
    </w:p>
    <w:p w:rsidR="005837D9" w:rsidRPr="00CB182D" w:rsidRDefault="005837D9" w:rsidP="005837D9">
      <w:pPr>
        <w:rPr>
          <w:b/>
          <w:lang w:val="sr-Cyrl-RS"/>
        </w:rPr>
      </w:pPr>
    </w:p>
    <w:tbl>
      <w:tblPr>
        <w:tblW w:w="9416" w:type="dxa"/>
        <w:tblInd w:w="18" w:type="dxa"/>
        <w:tblLook w:val="04A0" w:firstRow="1" w:lastRow="0" w:firstColumn="1" w:lastColumn="0" w:noHBand="0" w:noVBand="1"/>
      </w:tblPr>
      <w:tblGrid>
        <w:gridCol w:w="516"/>
        <w:gridCol w:w="4507"/>
        <w:gridCol w:w="2331"/>
        <w:gridCol w:w="2062"/>
      </w:tblGrid>
      <w:tr w:rsidR="00302D2E" w:rsidRPr="00B72A65" w:rsidTr="006F4BE8">
        <w:trPr>
          <w:trHeight w:val="101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2E" w:rsidRDefault="00302D2E" w:rsidP="006F4BE8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302D2E" w:rsidRPr="00611718" w:rsidRDefault="00302D2E" w:rsidP="000416D0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416D0">
              <w:rPr>
                <w:color w:val="000000"/>
                <w:sz w:val="20"/>
                <w:szCs w:val="28"/>
                <w:lang w:val="en-GB" w:eastAsia="en-US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2E" w:rsidRPr="00B72A65" w:rsidRDefault="00302D2E" w:rsidP="00815C2F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01.01.-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 xml:space="preserve"> 3</w:t>
            </w:r>
            <w:r w:rsidR="008E554E">
              <w:rPr>
                <w:color w:val="000000"/>
                <w:sz w:val="20"/>
                <w:szCs w:val="28"/>
                <w:lang w:val="sr-Cyrl-RS" w:eastAsia="en-US"/>
              </w:rPr>
              <w:t>0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0416D0">
              <w:rPr>
                <w:color w:val="000000"/>
                <w:sz w:val="20"/>
                <w:szCs w:val="28"/>
                <w:lang w:val="en-GB" w:eastAsia="en-US"/>
              </w:rPr>
              <w:t>0</w:t>
            </w:r>
            <w:r w:rsidR="00815C2F">
              <w:rPr>
                <w:color w:val="000000"/>
                <w:sz w:val="20"/>
                <w:szCs w:val="28"/>
                <w:lang w:val="en-US" w:eastAsia="en-US"/>
              </w:rPr>
              <w:t>9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>.201</w:t>
            </w:r>
            <w:r w:rsidR="000416D0">
              <w:rPr>
                <w:color w:val="000000"/>
                <w:sz w:val="20"/>
                <w:szCs w:val="28"/>
                <w:lang w:val="en-US" w:eastAsia="en-US"/>
              </w:rPr>
              <w:t>8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02D2E" w:rsidRPr="00B72A65" w:rsidTr="00815C2F">
        <w:trPr>
          <w:trHeight w:val="4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1102BD" w:rsidRDefault="00780E94" w:rsidP="00780E94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958</w:t>
            </w:r>
            <w:r w:rsidR="00302D2E" w:rsidRPr="001102BD">
              <w:rPr>
                <w:b/>
                <w:sz w:val="20"/>
                <w:szCs w:val="20"/>
              </w:rPr>
              <w:t>.</w:t>
            </w:r>
            <w:r w:rsidR="0052079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39</w:t>
            </w:r>
            <w:r w:rsidR="00302D2E"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B707B0" w:rsidRDefault="00B707B0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652.281.617,00</w:t>
            </w:r>
          </w:p>
        </w:tc>
      </w:tr>
      <w:tr w:rsidR="00302D2E" w:rsidRPr="00B72A65" w:rsidTr="00815C2F">
        <w:trPr>
          <w:trHeight w:val="4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1102BD" w:rsidRDefault="00302D2E" w:rsidP="00780E94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1102BD">
              <w:rPr>
                <w:b/>
                <w:sz w:val="20"/>
                <w:szCs w:val="20"/>
              </w:rPr>
              <w:t>1</w:t>
            </w:r>
            <w:r w:rsidR="00780E94">
              <w:rPr>
                <w:b/>
                <w:sz w:val="20"/>
                <w:szCs w:val="20"/>
              </w:rPr>
              <w:t>72</w:t>
            </w:r>
            <w:r w:rsidRPr="001102BD">
              <w:rPr>
                <w:b/>
                <w:sz w:val="20"/>
                <w:szCs w:val="20"/>
              </w:rPr>
              <w:t>.</w:t>
            </w:r>
            <w:r w:rsidR="00780E94">
              <w:rPr>
                <w:b/>
                <w:sz w:val="20"/>
                <w:szCs w:val="20"/>
              </w:rPr>
              <w:t>0</w:t>
            </w:r>
            <w:r w:rsidR="00520797">
              <w:rPr>
                <w:b/>
                <w:sz w:val="20"/>
                <w:szCs w:val="20"/>
              </w:rPr>
              <w:t>47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B707B0" w:rsidRDefault="00B707B0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116.783.920,00</w:t>
            </w:r>
          </w:p>
        </w:tc>
      </w:tr>
      <w:tr w:rsidR="00302D2E" w:rsidRPr="00B72A65" w:rsidTr="00815C2F">
        <w:trPr>
          <w:trHeight w:val="1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B707B0" w:rsidRDefault="00B707B0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3.313.440,00</w:t>
            </w:r>
          </w:p>
        </w:tc>
      </w:tr>
      <w:tr w:rsidR="00302D2E" w:rsidRPr="00B72A65" w:rsidTr="00815C2F">
        <w:trPr>
          <w:trHeight w:val="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1.600.000,00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71214E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860.411,00</w:t>
            </w:r>
          </w:p>
        </w:tc>
      </w:tr>
      <w:tr w:rsidR="00302D2E" w:rsidRPr="00B72A65" w:rsidTr="00815C2F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23.300.000,00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3568B6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14.370.725,00</w:t>
            </w:r>
          </w:p>
        </w:tc>
      </w:tr>
      <w:tr w:rsidR="00302D2E" w:rsidRPr="00B72A65" w:rsidTr="00815C2F">
        <w:trPr>
          <w:trHeight w:val="1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4.000.000,00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3568B6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2.451.522,00</w:t>
            </w:r>
          </w:p>
        </w:tc>
      </w:tr>
      <w:tr w:rsidR="00302D2E" w:rsidRPr="00B72A65" w:rsidTr="00815C2F">
        <w:trPr>
          <w:trHeight w:val="8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302D2E" w:rsidP="00520797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520797">
              <w:rPr>
                <w:b/>
                <w:color w:val="000000"/>
                <w:sz w:val="20"/>
                <w:szCs w:val="20"/>
              </w:rPr>
              <w:t>8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059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3568B6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49.281.367,00</w:t>
            </w:r>
          </w:p>
        </w:tc>
      </w:tr>
      <w:tr w:rsidR="00302D2E" w:rsidRPr="00B72A65" w:rsidTr="00815C2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520797" w:rsidP="00520797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02D2E"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302D2E">
              <w:rPr>
                <w:b/>
                <w:color w:val="000000"/>
                <w:sz w:val="20"/>
                <w:szCs w:val="20"/>
              </w:rPr>
              <w:t>00</w:t>
            </w:r>
            <w:r w:rsidR="00302D2E"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71214E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1.341.765,00</w:t>
            </w:r>
          </w:p>
        </w:tc>
      </w:tr>
      <w:tr w:rsidR="00302D2E" w:rsidRPr="00B72A65" w:rsidTr="00815C2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520797" w:rsidP="00520797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493</w:t>
            </w:r>
            <w:r w:rsidR="00302D2E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261</w:t>
            </w:r>
            <w:r w:rsidR="00302D2E"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 w:rsidR="00302D2E"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="00302D2E"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71214E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416.936.423,00</w:t>
            </w:r>
          </w:p>
        </w:tc>
      </w:tr>
      <w:tr w:rsidR="00302D2E" w:rsidRPr="00B72A65" w:rsidTr="00815C2F">
        <w:trPr>
          <w:trHeight w:val="2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520797" w:rsidP="006F4BE8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302D2E" w:rsidRPr="0002381F">
              <w:rPr>
                <w:b/>
                <w:color w:val="000000"/>
                <w:sz w:val="20"/>
                <w:szCs w:val="20"/>
              </w:rPr>
              <w:t>.</w:t>
            </w:r>
            <w:r w:rsidR="00302D2E">
              <w:rPr>
                <w:b/>
                <w:color w:val="000000"/>
                <w:sz w:val="20"/>
                <w:szCs w:val="20"/>
              </w:rPr>
              <w:t>50</w:t>
            </w:r>
            <w:r w:rsidR="00302D2E" w:rsidRPr="0002381F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71214E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6.928.416,00</w:t>
            </w:r>
          </w:p>
        </w:tc>
      </w:tr>
      <w:tr w:rsidR="00302D2E" w:rsidRPr="00B72A65" w:rsidTr="00815C2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520797" w:rsidP="006F4BE8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40</w:t>
            </w:r>
            <w:r w:rsidR="00302D2E"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 w:rsidR="00302D2E">
              <w:rPr>
                <w:b/>
                <w:color w:val="000000"/>
                <w:sz w:val="20"/>
                <w:szCs w:val="20"/>
                <w:lang w:val="en-GB"/>
              </w:rPr>
              <w:t>50</w:t>
            </w:r>
            <w:r w:rsidR="00302D2E" w:rsidRPr="0002381F">
              <w:rPr>
                <w:b/>
                <w:color w:val="000000"/>
                <w:sz w:val="20"/>
                <w:szCs w:val="20"/>
                <w:lang w:val="en-GB"/>
              </w:rPr>
              <w:t>0.000,00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71214E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24.359.281,00</w:t>
            </w:r>
          </w:p>
        </w:tc>
      </w:tr>
      <w:tr w:rsidR="00302D2E" w:rsidRPr="00B72A65" w:rsidTr="00815C2F">
        <w:trPr>
          <w:trHeight w:val="1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2381F" w:rsidRDefault="00302D2E" w:rsidP="006F4BE8">
            <w:pPr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3568B6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1.012.657,00</w:t>
            </w:r>
          </w:p>
        </w:tc>
      </w:tr>
      <w:tr w:rsidR="00302D2E" w:rsidRPr="00B72A65" w:rsidTr="00815C2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1102BD" w:rsidRDefault="00520797" w:rsidP="006F4BE8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45</w:t>
            </w:r>
            <w:r w:rsidR="00302D2E" w:rsidRPr="001102BD">
              <w:rPr>
                <w:b/>
                <w:sz w:val="20"/>
                <w:szCs w:val="20"/>
                <w:lang w:val="en-GB"/>
              </w:rPr>
              <w:t>.</w:t>
            </w:r>
            <w:r w:rsidR="00302D2E">
              <w:rPr>
                <w:b/>
                <w:sz w:val="20"/>
                <w:szCs w:val="20"/>
                <w:lang w:val="en-GB"/>
              </w:rPr>
              <w:t>000</w:t>
            </w:r>
            <w:r w:rsidR="00302D2E" w:rsidRPr="001102BD">
              <w:rPr>
                <w:b/>
                <w:sz w:val="20"/>
                <w:szCs w:val="20"/>
                <w:lang w:val="en-GB"/>
              </w:rPr>
              <w:t>.</w:t>
            </w:r>
            <w:r w:rsidR="00302D2E">
              <w:rPr>
                <w:b/>
                <w:sz w:val="20"/>
                <w:szCs w:val="20"/>
                <w:lang w:val="en-GB"/>
              </w:rPr>
              <w:t>00</w:t>
            </w:r>
            <w:r w:rsidR="00302D2E" w:rsidRPr="001102BD">
              <w:rPr>
                <w:b/>
                <w:sz w:val="20"/>
                <w:szCs w:val="20"/>
                <w:lang w:val="en-GB"/>
              </w:rPr>
              <w:t>0,00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71214E" w:rsidRDefault="0071214E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30.573.226,00</w:t>
            </w:r>
          </w:p>
        </w:tc>
      </w:tr>
      <w:tr w:rsidR="00302D2E" w:rsidRPr="00B72A65" w:rsidTr="00815C2F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E" w:rsidRPr="00B72A65" w:rsidRDefault="00302D2E" w:rsidP="006F4BE8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D2E" w:rsidRPr="00082490" w:rsidRDefault="00302D2E" w:rsidP="00780E9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</w:t>
            </w:r>
            <w:r w:rsidR="00780E94">
              <w:rPr>
                <w:b/>
                <w:sz w:val="20"/>
                <w:szCs w:val="20"/>
                <w:lang w:val="en-GB"/>
              </w:rPr>
              <w:t>837</w:t>
            </w:r>
            <w:r>
              <w:rPr>
                <w:b/>
                <w:sz w:val="20"/>
                <w:szCs w:val="20"/>
                <w:lang w:val="en-GB"/>
              </w:rPr>
              <w:t>.</w:t>
            </w:r>
            <w:r w:rsidR="00780E94">
              <w:rPr>
                <w:b/>
                <w:sz w:val="20"/>
                <w:szCs w:val="20"/>
                <w:lang w:val="en-GB"/>
              </w:rPr>
              <w:t>506</w:t>
            </w:r>
            <w:r>
              <w:rPr>
                <w:b/>
                <w:sz w:val="20"/>
                <w:szCs w:val="20"/>
                <w:lang w:val="en-GB"/>
              </w:rPr>
              <w:t>.000</w:t>
            </w:r>
            <w:r w:rsidRPr="00082490">
              <w:rPr>
                <w:b/>
                <w:sz w:val="20"/>
                <w:szCs w:val="20"/>
                <w:lang w:val="en-GB"/>
              </w:rPr>
              <w:t>,00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D2E" w:rsidRPr="00B707B0" w:rsidRDefault="00187DDB" w:rsidP="0076018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1.320.494.770,00</w:t>
            </w:r>
          </w:p>
        </w:tc>
      </w:tr>
    </w:tbl>
    <w:p w:rsidR="00302D2E" w:rsidRPr="00204873" w:rsidRDefault="00302D2E" w:rsidP="00302D2E">
      <w:pPr>
        <w:rPr>
          <w:sz w:val="20"/>
          <w:szCs w:val="20"/>
          <w:lang w:val="sr-Cyrl-RS"/>
        </w:rPr>
      </w:pPr>
      <w:r w:rsidRPr="00204873">
        <w:rPr>
          <w:sz w:val="20"/>
          <w:szCs w:val="20"/>
          <w:lang w:val="sr-Cyrl-RS"/>
        </w:rPr>
        <w:t>Напомена:Одобрене апропријације у 201</w:t>
      </w:r>
      <w:r w:rsidR="000416D0">
        <w:rPr>
          <w:sz w:val="20"/>
          <w:szCs w:val="20"/>
          <w:lang w:val="en-GB"/>
        </w:rPr>
        <w:t>8</w:t>
      </w:r>
      <w:r w:rsidRPr="00204873">
        <w:rPr>
          <w:sz w:val="20"/>
          <w:szCs w:val="20"/>
          <w:lang w:val="sr-Cyrl-RS"/>
        </w:rPr>
        <w:t xml:space="preserve">.години  подразумевају сва смањења и повећања </w:t>
      </w:r>
      <w:r>
        <w:rPr>
          <w:sz w:val="20"/>
          <w:szCs w:val="20"/>
          <w:lang w:val="sr-Cyrl-RS"/>
        </w:rPr>
        <w:t>апропријације у односу на почетну</w:t>
      </w:r>
      <w:r w:rsidRPr="00204873">
        <w:rPr>
          <w:sz w:val="20"/>
          <w:szCs w:val="20"/>
          <w:lang w:val="sr-Cyrl-RS"/>
        </w:rPr>
        <w:t>.</w:t>
      </w:r>
    </w:p>
    <w:p w:rsidR="00302D2E" w:rsidRDefault="00302D2E" w:rsidP="00302D2E">
      <w:pPr>
        <w:rPr>
          <w:lang w:val="sr-Cyrl-RS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2340"/>
        <w:gridCol w:w="2070"/>
      </w:tblGrid>
      <w:tr w:rsidR="00302D2E" w:rsidRPr="00B72A65" w:rsidTr="006F4BE8">
        <w:tc>
          <w:tcPr>
            <w:tcW w:w="5040" w:type="dxa"/>
            <w:shd w:val="clear" w:color="auto" w:fill="auto"/>
          </w:tcPr>
          <w:p w:rsidR="00302D2E" w:rsidRPr="00B72A65" w:rsidRDefault="00302D2E" w:rsidP="006F4BE8">
            <w:pPr>
              <w:rPr>
                <w:lang w:val="sr-Cyrl-RS"/>
              </w:rPr>
            </w:pPr>
            <w:r w:rsidRPr="00B72A65">
              <w:rPr>
                <w:lang w:val="sr-Cyrl-RS"/>
              </w:rPr>
              <w:t>Укупно за раздео 8 јавна тужилаштва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02D2E" w:rsidRPr="00082490" w:rsidRDefault="00302D2E" w:rsidP="00780E94">
            <w:pPr>
              <w:jc w:val="right"/>
              <w:rPr>
                <w:b/>
                <w:color w:val="000000"/>
                <w:lang w:val="en-GB"/>
              </w:rPr>
            </w:pPr>
            <w:r w:rsidRPr="00082490">
              <w:rPr>
                <w:b/>
                <w:color w:val="000000"/>
                <w:lang w:val="en-GB"/>
              </w:rPr>
              <w:t>3.</w:t>
            </w:r>
            <w:r w:rsidR="00780E94">
              <w:rPr>
                <w:b/>
                <w:color w:val="000000"/>
                <w:lang w:val="en-GB"/>
              </w:rPr>
              <w:t>137</w:t>
            </w:r>
            <w:r>
              <w:rPr>
                <w:b/>
                <w:color w:val="000000"/>
                <w:lang w:val="en-GB"/>
              </w:rPr>
              <w:t>.</w:t>
            </w:r>
            <w:r w:rsidR="00780E94">
              <w:rPr>
                <w:b/>
                <w:color w:val="000000"/>
                <w:lang w:val="en-GB"/>
              </w:rPr>
              <w:t>66</w:t>
            </w:r>
            <w:r w:rsidR="00520797">
              <w:rPr>
                <w:b/>
                <w:color w:val="000000"/>
                <w:lang w:val="en-GB"/>
              </w:rPr>
              <w:t>4</w:t>
            </w:r>
            <w:r>
              <w:rPr>
                <w:b/>
                <w:color w:val="000000"/>
                <w:lang w:val="en-GB"/>
              </w:rPr>
              <w:t>.000</w:t>
            </w:r>
            <w:r w:rsidRPr="00082490">
              <w:rPr>
                <w:b/>
                <w:color w:val="000000"/>
                <w:lang w:val="en-GB"/>
              </w:rPr>
              <w:t>,00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02D2E" w:rsidRPr="00187DDB" w:rsidRDefault="00187DDB" w:rsidP="00B320C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2.214.561.275,00</w:t>
            </w:r>
          </w:p>
        </w:tc>
      </w:tr>
    </w:tbl>
    <w:p w:rsidR="00D90A6C" w:rsidRPr="00311878" w:rsidRDefault="00302D2E" w:rsidP="00302D2E">
      <w:pPr>
        <w:rPr>
          <w:b/>
          <w:lang w:val="sr-Cyrl-RS"/>
        </w:rPr>
      </w:pPr>
      <w:r>
        <w:rPr>
          <w:lang w:val="sr-Cyrl-RS"/>
        </w:rPr>
        <w:t>Укупно извршење буџета у</w:t>
      </w:r>
      <w:r w:rsidR="00841755">
        <w:rPr>
          <w:lang w:val="sr-Cyrl-RS"/>
        </w:rPr>
        <w:t xml:space="preserve"> </w:t>
      </w:r>
      <w:r w:rsidR="00187DDB">
        <w:rPr>
          <w:lang w:val="sr-Cyrl-RS"/>
        </w:rPr>
        <w:t>трећем</w:t>
      </w:r>
      <w:r w:rsidR="008E554E">
        <w:rPr>
          <w:lang w:val="sr-Cyrl-RS"/>
        </w:rPr>
        <w:t xml:space="preserve"> </w:t>
      </w:r>
      <w:r w:rsidR="00841755">
        <w:rPr>
          <w:lang w:val="sr-Cyrl-RS"/>
        </w:rPr>
        <w:t xml:space="preserve"> кварталу у</w:t>
      </w:r>
      <w:r>
        <w:rPr>
          <w:lang w:val="sr-Cyrl-RS"/>
        </w:rPr>
        <w:t xml:space="preserve"> 201</w:t>
      </w:r>
      <w:r w:rsidR="000416D0">
        <w:rPr>
          <w:lang w:val="en-GB"/>
        </w:rPr>
        <w:t>8</w:t>
      </w:r>
      <w:r>
        <w:rPr>
          <w:lang w:val="sr-Cyrl-RS"/>
        </w:rPr>
        <w:t xml:space="preserve">. години на разделу 8. Јавна тужилаштва износи </w:t>
      </w:r>
      <w:r w:rsidR="00780E94">
        <w:rPr>
          <w:b/>
          <w:color w:val="000000" w:themeColor="text1"/>
          <w:lang w:val="en-US"/>
        </w:rPr>
        <w:t>71</w:t>
      </w:r>
      <w:r w:rsidRPr="00841755">
        <w:rPr>
          <w:b/>
          <w:color w:val="000000" w:themeColor="text1"/>
          <w:lang w:val="sr-Cyrl-RS"/>
        </w:rPr>
        <w:t>,</w:t>
      </w:r>
      <w:r w:rsidR="00815C2F">
        <w:rPr>
          <w:b/>
          <w:color w:val="000000" w:themeColor="text1"/>
          <w:lang w:val="en-US"/>
        </w:rPr>
        <w:t>00</w:t>
      </w:r>
      <w:r w:rsidRPr="00841755">
        <w:rPr>
          <w:b/>
          <w:color w:val="000000" w:themeColor="text1"/>
          <w:lang w:val="sr-Cyrl-RS"/>
        </w:rPr>
        <w:t>%</w:t>
      </w:r>
      <w:bookmarkStart w:id="0" w:name="_GoBack"/>
      <w:bookmarkEnd w:id="0"/>
    </w:p>
    <w:sectPr w:rsidR="00D90A6C" w:rsidRPr="00311878" w:rsidSect="00302D2E"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9D5"/>
    <w:multiLevelType w:val="hybridMultilevel"/>
    <w:tmpl w:val="ED0EFA9E"/>
    <w:lvl w:ilvl="0" w:tplc="94947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9"/>
    <w:rsid w:val="000144D0"/>
    <w:rsid w:val="000416D0"/>
    <w:rsid w:val="00163D54"/>
    <w:rsid w:val="00187DDB"/>
    <w:rsid w:val="001E274C"/>
    <w:rsid w:val="0020241B"/>
    <w:rsid w:val="002C090A"/>
    <w:rsid w:val="002F031E"/>
    <w:rsid w:val="00302D2E"/>
    <w:rsid w:val="00311878"/>
    <w:rsid w:val="0033292D"/>
    <w:rsid w:val="00343331"/>
    <w:rsid w:val="003568B6"/>
    <w:rsid w:val="00377DDC"/>
    <w:rsid w:val="00467498"/>
    <w:rsid w:val="00520797"/>
    <w:rsid w:val="0054399D"/>
    <w:rsid w:val="005837D9"/>
    <w:rsid w:val="005965B3"/>
    <w:rsid w:val="006B5013"/>
    <w:rsid w:val="006B6733"/>
    <w:rsid w:val="0071214E"/>
    <w:rsid w:val="00760180"/>
    <w:rsid w:val="00780E94"/>
    <w:rsid w:val="00795637"/>
    <w:rsid w:val="007B11CD"/>
    <w:rsid w:val="00815C2F"/>
    <w:rsid w:val="00841755"/>
    <w:rsid w:val="008544C9"/>
    <w:rsid w:val="008A6594"/>
    <w:rsid w:val="008E554E"/>
    <w:rsid w:val="00924EDB"/>
    <w:rsid w:val="00975D74"/>
    <w:rsid w:val="00AA7EF2"/>
    <w:rsid w:val="00B2541C"/>
    <w:rsid w:val="00B320C5"/>
    <w:rsid w:val="00B707B0"/>
    <w:rsid w:val="00D041E1"/>
    <w:rsid w:val="00D25F8D"/>
    <w:rsid w:val="00D34470"/>
    <w:rsid w:val="00D90A6C"/>
    <w:rsid w:val="00EC425A"/>
    <w:rsid w:val="00F33015"/>
    <w:rsid w:val="00FA455F"/>
    <w:rsid w:val="00F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Marija Tomic</cp:lastModifiedBy>
  <cp:revision>21</cp:revision>
  <cp:lastPrinted>2018-11-05T11:07:00Z</cp:lastPrinted>
  <dcterms:created xsi:type="dcterms:W3CDTF">2018-02-09T08:26:00Z</dcterms:created>
  <dcterms:modified xsi:type="dcterms:W3CDTF">2018-11-08T08:01:00Z</dcterms:modified>
</cp:coreProperties>
</file>