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32A4F" w14:textId="62985F00" w:rsidR="00EA74A9" w:rsidRDefault="00EA74A9">
      <w:hyperlink r:id="rId4" w:history="1">
        <w:r>
          <w:rPr>
            <w:rStyle w:val="Hyperlink"/>
          </w:rPr>
          <w:t>https://www.paragraf.rs/propisi/pravilnik_o_radu_izborne_komisije_drzavnog_veca_tuzilaca.html</w:t>
        </w:r>
      </w:hyperlink>
    </w:p>
    <w:sectPr w:rsidR="00EA7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4A9"/>
    <w:rsid w:val="00EA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510B7"/>
  <w15:chartTrackingRefBased/>
  <w15:docId w15:val="{152B2B37-58E3-4F41-BF60-E59EB4CD8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74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aragraf.rs/propisi/pravilnik_o_radu_izborne_komisije_drzavnog_veca_tuzilac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 J.R. Merlini</dc:creator>
  <cp:keywords/>
  <dc:description/>
  <cp:lastModifiedBy>Mladen J.R. Merlini</cp:lastModifiedBy>
  <cp:revision>2</cp:revision>
  <dcterms:created xsi:type="dcterms:W3CDTF">2020-09-01T10:09:00Z</dcterms:created>
  <dcterms:modified xsi:type="dcterms:W3CDTF">2020-09-01T10:10:00Z</dcterms:modified>
</cp:coreProperties>
</file>